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7667" w:rsidRPr="006C4D42" w:rsidRDefault="00137667" w:rsidP="00137667">
      <w:pPr>
        <w:rPr>
          <w:rFonts w:cstheme="minorHAnsi"/>
          <w:b/>
          <w:sz w:val="24"/>
          <w:szCs w:val="24"/>
        </w:rPr>
      </w:pPr>
      <w:r w:rsidRPr="006C4D42">
        <w:rPr>
          <w:rFonts w:cstheme="minorHAnsi"/>
          <w:b/>
          <w:sz w:val="24"/>
          <w:szCs w:val="24"/>
        </w:rPr>
        <w:t>NATIONAL PORTRAIT GALLERY</w:t>
      </w:r>
    </w:p>
    <w:p w:rsidR="00DC7554" w:rsidRPr="006C4D42" w:rsidRDefault="00137667" w:rsidP="00137667">
      <w:pPr>
        <w:rPr>
          <w:rFonts w:cstheme="minorHAnsi"/>
          <w:b/>
          <w:sz w:val="24"/>
          <w:szCs w:val="24"/>
        </w:rPr>
      </w:pPr>
      <w:r w:rsidRPr="006C4D42">
        <w:rPr>
          <w:rFonts w:cstheme="minorHAnsi"/>
          <w:b/>
          <w:sz w:val="24"/>
          <w:szCs w:val="24"/>
        </w:rPr>
        <w:t>DISABILITY INCLUSION ACTION PLAN 2023–25</w:t>
      </w:r>
    </w:p>
    <w:p w:rsidR="00137667" w:rsidRPr="006C4D42" w:rsidRDefault="00137667" w:rsidP="00137667">
      <w:pPr>
        <w:rPr>
          <w:rFonts w:cstheme="minorHAnsi"/>
          <w:b/>
          <w:sz w:val="24"/>
          <w:szCs w:val="24"/>
        </w:rPr>
      </w:pPr>
    </w:p>
    <w:p w:rsidR="00137667" w:rsidRPr="006C4D42" w:rsidRDefault="00137667" w:rsidP="00137667">
      <w:pPr>
        <w:rPr>
          <w:rFonts w:cstheme="minorHAnsi"/>
          <w:b/>
          <w:sz w:val="24"/>
          <w:szCs w:val="24"/>
        </w:rPr>
      </w:pPr>
      <w:r w:rsidRPr="006C4D42">
        <w:rPr>
          <w:rFonts w:cstheme="minorHAnsi"/>
          <w:b/>
          <w:sz w:val="24"/>
          <w:szCs w:val="24"/>
        </w:rPr>
        <w:t>CONTENTS</w:t>
      </w:r>
    </w:p>
    <w:p w:rsidR="00137667" w:rsidRPr="006C4D42" w:rsidRDefault="00137667" w:rsidP="00137667">
      <w:pPr>
        <w:rPr>
          <w:rFonts w:cstheme="minorHAnsi"/>
          <w:bCs/>
          <w:sz w:val="24"/>
          <w:szCs w:val="24"/>
        </w:rPr>
      </w:pPr>
      <w:r w:rsidRPr="006C4D42">
        <w:rPr>
          <w:rFonts w:cstheme="minorHAnsi"/>
          <w:bCs/>
          <w:sz w:val="24"/>
          <w:szCs w:val="24"/>
        </w:rPr>
        <w:t>Acknowledgment of Country</w:t>
      </w:r>
    </w:p>
    <w:p w:rsidR="00137667" w:rsidRPr="006C4D42" w:rsidRDefault="00137667" w:rsidP="00137667">
      <w:pPr>
        <w:rPr>
          <w:rFonts w:cstheme="minorHAnsi"/>
          <w:sz w:val="24"/>
          <w:szCs w:val="24"/>
        </w:rPr>
      </w:pPr>
      <w:r w:rsidRPr="006C4D42">
        <w:rPr>
          <w:rFonts w:cstheme="minorHAnsi"/>
          <w:sz w:val="24"/>
          <w:szCs w:val="24"/>
        </w:rPr>
        <w:t>Language</w:t>
      </w:r>
    </w:p>
    <w:p w:rsidR="00137667" w:rsidRPr="006C4D42" w:rsidRDefault="00137667" w:rsidP="00137667">
      <w:pPr>
        <w:rPr>
          <w:rFonts w:cstheme="minorHAnsi"/>
          <w:sz w:val="24"/>
          <w:szCs w:val="24"/>
        </w:rPr>
      </w:pPr>
      <w:r w:rsidRPr="006C4D42">
        <w:rPr>
          <w:rFonts w:cstheme="minorHAnsi"/>
          <w:sz w:val="24"/>
          <w:szCs w:val="24"/>
        </w:rPr>
        <w:t>Message from the Director</w:t>
      </w:r>
    </w:p>
    <w:p w:rsidR="00137667" w:rsidRPr="006C4D42" w:rsidRDefault="00137667" w:rsidP="00137667">
      <w:pPr>
        <w:rPr>
          <w:rFonts w:cstheme="minorHAnsi"/>
          <w:sz w:val="24"/>
          <w:szCs w:val="24"/>
        </w:rPr>
      </w:pPr>
      <w:r w:rsidRPr="006C4D42">
        <w:rPr>
          <w:rFonts w:cstheme="minorHAnsi"/>
          <w:sz w:val="24"/>
          <w:szCs w:val="24"/>
        </w:rPr>
        <w:t>Definitions</w:t>
      </w:r>
    </w:p>
    <w:p w:rsidR="00137667" w:rsidRPr="006C4D42" w:rsidRDefault="00137667" w:rsidP="00137667">
      <w:pPr>
        <w:rPr>
          <w:rFonts w:cstheme="minorHAnsi"/>
          <w:sz w:val="24"/>
          <w:szCs w:val="24"/>
        </w:rPr>
      </w:pPr>
      <w:r w:rsidRPr="006C4D42">
        <w:rPr>
          <w:rFonts w:cstheme="minorHAnsi"/>
          <w:sz w:val="24"/>
          <w:szCs w:val="24"/>
        </w:rPr>
        <w:t>Who we are and what we do</w:t>
      </w:r>
    </w:p>
    <w:p w:rsidR="00137667" w:rsidRPr="006C4D42" w:rsidRDefault="00137667" w:rsidP="00137667">
      <w:pPr>
        <w:rPr>
          <w:rFonts w:cstheme="minorHAnsi"/>
          <w:sz w:val="24"/>
          <w:szCs w:val="24"/>
        </w:rPr>
      </w:pPr>
      <w:r w:rsidRPr="006C4D42">
        <w:rPr>
          <w:rFonts w:cstheme="minorHAnsi"/>
          <w:sz w:val="24"/>
          <w:szCs w:val="24"/>
        </w:rPr>
        <w:t>Disability in Australia</w:t>
      </w:r>
    </w:p>
    <w:p w:rsidR="00137667" w:rsidRPr="006C4D42" w:rsidRDefault="00137667" w:rsidP="00137667">
      <w:pPr>
        <w:rPr>
          <w:rFonts w:cstheme="minorHAnsi"/>
          <w:sz w:val="24"/>
          <w:szCs w:val="24"/>
        </w:rPr>
      </w:pPr>
      <w:r w:rsidRPr="006C4D42">
        <w:rPr>
          <w:rFonts w:cstheme="minorHAnsi"/>
          <w:sz w:val="24"/>
          <w:szCs w:val="24"/>
        </w:rPr>
        <w:t>Where we fit: social policy context</w:t>
      </w:r>
    </w:p>
    <w:p w:rsidR="00137667" w:rsidRPr="006C4D42" w:rsidRDefault="00137667" w:rsidP="00137667">
      <w:pPr>
        <w:rPr>
          <w:rFonts w:cstheme="minorHAnsi"/>
          <w:sz w:val="24"/>
          <w:szCs w:val="24"/>
        </w:rPr>
      </w:pPr>
      <w:r w:rsidRPr="006C4D42">
        <w:rPr>
          <w:rFonts w:cstheme="minorHAnsi"/>
          <w:sz w:val="24"/>
          <w:szCs w:val="24"/>
        </w:rPr>
        <w:t>Our Disability Action Plan</w:t>
      </w:r>
    </w:p>
    <w:p w:rsidR="00137667" w:rsidRPr="006C4D42" w:rsidRDefault="00137667" w:rsidP="00137667">
      <w:pPr>
        <w:rPr>
          <w:rFonts w:cstheme="minorHAnsi"/>
          <w:sz w:val="24"/>
          <w:szCs w:val="24"/>
        </w:rPr>
      </w:pPr>
      <w:r w:rsidRPr="006C4D42">
        <w:rPr>
          <w:rFonts w:cstheme="minorHAnsi"/>
          <w:sz w:val="24"/>
          <w:szCs w:val="24"/>
        </w:rPr>
        <w:t>Our achievements to date</w:t>
      </w:r>
    </w:p>
    <w:p w:rsidR="00137667" w:rsidRPr="006C4D42" w:rsidRDefault="00137667" w:rsidP="00137667">
      <w:pPr>
        <w:rPr>
          <w:rFonts w:cstheme="minorHAnsi"/>
          <w:sz w:val="24"/>
          <w:szCs w:val="24"/>
        </w:rPr>
      </w:pPr>
      <w:r w:rsidRPr="006C4D42">
        <w:rPr>
          <w:rFonts w:cstheme="minorHAnsi"/>
          <w:sz w:val="24"/>
          <w:szCs w:val="24"/>
        </w:rPr>
        <w:t>Methodology and consultation</w:t>
      </w:r>
    </w:p>
    <w:p w:rsidR="00137667" w:rsidRPr="006C4D42" w:rsidRDefault="00137667" w:rsidP="00137667">
      <w:pPr>
        <w:rPr>
          <w:rFonts w:cstheme="minorHAnsi"/>
          <w:sz w:val="24"/>
          <w:szCs w:val="24"/>
        </w:rPr>
      </w:pPr>
      <w:r w:rsidRPr="006C4D42">
        <w:rPr>
          <w:rFonts w:cstheme="minorHAnsi"/>
          <w:sz w:val="24"/>
          <w:szCs w:val="24"/>
        </w:rPr>
        <w:t>Disability Inclusion Action Plan</w:t>
      </w:r>
    </w:p>
    <w:p w:rsidR="00137667" w:rsidRPr="006C4D42" w:rsidRDefault="00137667" w:rsidP="00137667">
      <w:pPr>
        <w:rPr>
          <w:rFonts w:cstheme="minorHAnsi"/>
          <w:sz w:val="24"/>
          <w:szCs w:val="24"/>
        </w:rPr>
      </w:pPr>
      <w:r w:rsidRPr="006C4D42">
        <w:rPr>
          <w:rFonts w:cstheme="minorHAnsi"/>
          <w:sz w:val="24"/>
          <w:szCs w:val="24"/>
        </w:rPr>
        <w:t>2023–25</w:t>
      </w:r>
    </w:p>
    <w:p w:rsidR="00137667" w:rsidRPr="006C4D42" w:rsidRDefault="00137667" w:rsidP="00137667">
      <w:pPr>
        <w:rPr>
          <w:rFonts w:cstheme="minorHAnsi"/>
          <w:sz w:val="24"/>
          <w:szCs w:val="24"/>
        </w:rPr>
      </w:pPr>
      <w:r w:rsidRPr="006C4D42">
        <w:rPr>
          <w:rFonts w:cstheme="minorHAnsi"/>
          <w:sz w:val="24"/>
          <w:szCs w:val="24"/>
        </w:rPr>
        <w:t>Governance, monitoring and review</w:t>
      </w:r>
    </w:p>
    <w:p w:rsidR="00137667" w:rsidRPr="006C4D42" w:rsidRDefault="00137667" w:rsidP="00137667">
      <w:pPr>
        <w:rPr>
          <w:rFonts w:cstheme="minorHAnsi"/>
          <w:sz w:val="24"/>
          <w:szCs w:val="24"/>
        </w:rPr>
      </w:pPr>
      <w:r w:rsidRPr="006C4D42">
        <w:rPr>
          <w:rFonts w:cstheme="minorHAnsi"/>
          <w:sz w:val="24"/>
          <w:szCs w:val="24"/>
        </w:rPr>
        <w:t>Acknowledgments</w:t>
      </w:r>
    </w:p>
    <w:p w:rsidR="00137667" w:rsidRPr="006C4D42" w:rsidRDefault="00137667" w:rsidP="00137667">
      <w:pPr>
        <w:rPr>
          <w:rFonts w:cstheme="minorHAnsi"/>
          <w:sz w:val="24"/>
          <w:szCs w:val="24"/>
        </w:rPr>
      </w:pPr>
      <w:r w:rsidRPr="006C4D42">
        <w:rPr>
          <w:rFonts w:cstheme="minorHAnsi"/>
          <w:sz w:val="24"/>
          <w:szCs w:val="24"/>
        </w:rPr>
        <w:t>Contact us</w:t>
      </w:r>
    </w:p>
    <w:p w:rsidR="00137667" w:rsidRPr="006C4D42" w:rsidRDefault="00137667" w:rsidP="00137667">
      <w:pPr>
        <w:rPr>
          <w:rFonts w:cstheme="minorHAnsi"/>
          <w:sz w:val="24"/>
          <w:szCs w:val="24"/>
        </w:rPr>
      </w:pPr>
    </w:p>
    <w:p w:rsidR="00137667" w:rsidRPr="006C4D42" w:rsidRDefault="00137667">
      <w:pPr>
        <w:rPr>
          <w:rFonts w:cstheme="minorHAnsi"/>
          <w:b/>
          <w:sz w:val="24"/>
          <w:szCs w:val="24"/>
        </w:rPr>
      </w:pPr>
      <w:r w:rsidRPr="006C4D42">
        <w:rPr>
          <w:rFonts w:cstheme="minorHAnsi"/>
          <w:b/>
          <w:sz w:val="24"/>
          <w:szCs w:val="24"/>
        </w:rPr>
        <w:br w:type="page"/>
      </w:r>
    </w:p>
    <w:p w:rsidR="00137667" w:rsidRPr="006C4D42" w:rsidRDefault="00137667" w:rsidP="00137667">
      <w:pPr>
        <w:rPr>
          <w:rFonts w:cstheme="minorHAnsi"/>
          <w:b/>
          <w:sz w:val="24"/>
          <w:szCs w:val="24"/>
        </w:rPr>
      </w:pPr>
      <w:r w:rsidRPr="006C4D42">
        <w:rPr>
          <w:rFonts w:cstheme="minorHAnsi"/>
          <w:b/>
          <w:sz w:val="24"/>
          <w:szCs w:val="24"/>
        </w:rPr>
        <w:lastRenderedPageBreak/>
        <w:t>ACKNOWLEDGMENT OF COUNTRY</w:t>
      </w:r>
    </w:p>
    <w:p w:rsidR="00137667" w:rsidRPr="006C4D42" w:rsidRDefault="00137667" w:rsidP="00137667">
      <w:pPr>
        <w:rPr>
          <w:rFonts w:cstheme="minorHAnsi"/>
          <w:sz w:val="24"/>
          <w:szCs w:val="24"/>
        </w:rPr>
      </w:pPr>
      <w:r w:rsidRPr="006C4D42">
        <w:rPr>
          <w:rFonts w:cstheme="minorHAnsi"/>
          <w:sz w:val="24"/>
          <w:szCs w:val="24"/>
        </w:rPr>
        <w:t xml:space="preserve">The National Portrait Gallery acknowledges the Ngunnawal and </w:t>
      </w:r>
      <w:proofErr w:type="spellStart"/>
      <w:r w:rsidRPr="006C4D42">
        <w:rPr>
          <w:rFonts w:cstheme="minorHAnsi"/>
          <w:sz w:val="24"/>
          <w:szCs w:val="24"/>
        </w:rPr>
        <w:t>Ngambri</w:t>
      </w:r>
      <w:proofErr w:type="spellEnd"/>
      <w:r w:rsidRPr="006C4D42">
        <w:rPr>
          <w:rFonts w:cstheme="minorHAnsi"/>
          <w:sz w:val="24"/>
          <w:szCs w:val="24"/>
        </w:rPr>
        <w:t xml:space="preserve"> peoples, the Traditional Custodians of the Canberra region, on whose Country the Gallery stands. </w:t>
      </w:r>
    </w:p>
    <w:p w:rsidR="00137667" w:rsidRPr="006C4D42" w:rsidRDefault="00137667" w:rsidP="00137667">
      <w:pPr>
        <w:rPr>
          <w:rFonts w:cstheme="minorHAnsi"/>
          <w:sz w:val="24"/>
          <w:szCs w:val="24"/>
        </w:rPr>
      </w:pPr>
      <w:r w:rsidRPr="006C4D42">
        <w:rPr>
          <w:rFonts w:cstheme="minorHAnsi"/>
          <w:sz w:val="24"/>
          <w:szCs w:val="24"/>
        </w:rPr>
        <w:t>We pay our respects to their Elders past, present and future and recognise their continuing connection to lands, waters and communities. We extend our acknowledgment to Traditional Custodians of Country throughout Australia.</w:t>
      </w:r>
    </w:p>
    <w:p w:rsidR="00137667" w:rsidRPr="006C4D42" w:rsidRDefault="00137667" w:rsidP="00137667">
      <w:pPr>
        <w:rPr>
          <w:rFonts w:cstheme="minorHAnsi"/>
          <w:sz w:val="24"/>
          <w:szCs w:val="24"/>
        </w:rPr>
      </w:pPr>
      <w:r w:rsidRPr="006C4D42">
        <w:rPr>
          <w:rFonts w:cstheme="minorHAnsi"/>
          <w:sz w:val="24"/>
          <w:szCs w:val="24"/>
        </w:rPr>
        <w:t>Aboriginal and Torres Strait Islander readers should be aware that this document contains images of now deceased Indigenous people.</w:t>
      </w:r>
    </w:p>
    <w:p w:rsidR="00137667" w:rsidRPr="006C4D42" w:rsidRDefault="00137667" w:rsidP="00137667">
      <w:pPr>
        <w:rPr>
          <w:rFonts w:cstheme="minorHAnsi"/>
          <w:sz w:val="24"/>
          <w:szCs w:val="24"/>
        </w:rPr>
      </w:pPr>
    </w:p>
    <w:p w:rsidR="00137667" w:rsidRPr="006C4D42" w:rsidRDefault="00137667" w:rsidP="00137667">
      <w:pPr>
        <w:rPr>
          <w:rFonts w:cstheme="minorHAnsi"/>
          <w:b/>
          <w:sz w:val="24"/>
          <w:szCs w:val="24"/>
        </w:rPr>
      </w:pPr>
      <w:r w:rsidRPr="006C4D42">
        <w:rPr>
          <w:rFonts w:cstheme="minorHAnsi"/>
          <w:b/>
          <w:sz w:val="24"/>
          <w:szCs w:val="24"/>
        </w:rPr>
        <w:t>LANGUAGE</w:t>
      </w:r>
    </w:p>
    <w:p w:rsidR="00137667" w:rsidRPr="006C4D42" w:rsidRDefault="00137667" w:rsidP="00137667">
      <w:pPr>
        <w:rPr>
          <w:rFonts w:cstheme="minorHAnsi"/>
          <w:sz w:val="24"/>
          <w:szCs w:val="24"/>
        </w:rPr>
      </w:pPr>
      <w:r w:rsidRPr="006C4D42">
        <w:rPr>
          <w:rFonts w:cstheme="minorHAnsi"/>
          <w:sz w:val="24"/>
          <w:szCs w:val="24"/>
        </w:rPr>
        <w:t>We recognise that there are varying views on language and terminology around disability in Australia and internationally. Language can be both a personal, and political, choice.</w:t>
      </w:r>
    </w:p>
    <w:p w:rsidR="00137667" w:rsidRPr="006C4D42" w:rsidRDefault="00137667" w:rsidP="00137667">
      <w:pPr>
        <w:rPr>
          <w:rFonts w:cstheme="minorHAnsi"/>
          <w:sz w:val="24"/>
          <w:szCs w:val="24"/>
        </w:rPr>
      </w:pPr>
      <w:r w:rsidRPr="006C4D42">
        <w:rPr>
          <w:rFonts w:cstheme="minorHAnsi"/>
          <w:sz w:val="24"/>
          <w:szCs w:val="24"/>
        </w:rPr>
        <w:t>We have chosen to write this Disability Inclusion Action Plan (DIAP) using the person-first language of ‘person with disability’ to recognise that disability is just one aspect of a person’s life and does not determine who they are. This is currently the preferred language used by governments across Australia. However, we respect that different people have different preferences about language.</w:t>
      </w:r>
    </w:p>
    <w:p w:rsidR="00137667" w:rsidRPr="006C4D42" w:rsidRDefault="00137667" w:rsidP="00137667">
      <w:pPr>
        <w:rPr>
          <w:rFonts w:cstheme="minorHAnsi"/>
          <w:sz w:val="24"/>
          <w:szCs w:val="24"/>
        </w:rPr>
      </w:pPr>
    </w:p>
    <w:p w:rsidR="00137667" w:rsidRPr="006C4D42" w:rsidRDefault="00137667">
      <w:pPr>
        <w:rPr>
          <w:rFonts w:cstheme="minorHAnsi"/>
          <w:b/>
          <w:sz w:val="24"/>
          <w:szCs w:val="24"/>
        </w:rPr>
      </w:pPr>
      <w:r w:rsidRPr="006C4D42">
        <w:rPr>
          <w:rFonts w:cstheme="minorHAnsi"/>
          <w:b/>
          <w:sz w:val="24"/>
          <w:szCs w:val="24"/>
        </w:rPr>
        <w:br w:type="page"/>
      </w:r>
    </w:p>
    <w:p w:rsidR="00137667" w:rsidRPr="006C4D42" w:rsidRDefault="00137667" w:rsidP="00137667">
      <w:pPr>
        <w:rPr>
          <w:rFonts w:cstheme="minorHAnsi"/>
          <w:b/>
          <w:sz w:val="24"/>
          <w:szCs w:val="24"/>
        </w:rPr>
      </w:pPr>
      <w:r w:rsidRPr="006C4D42">
        <w:rPr>
          <w:rFonts w:cstheme="minorHAnsi"/>
          <w:b/>
          <w:sz w:val="24"/>
          <w:szCs w:val="24"/>
        </w:rPr>
        <w:lastRenderedPageBreak/>
        <w:t>MESSAGE FROM THE DIRECTOR</w:t>
      </w:r>
    </w:p>
    <w:p w:rsidR="00137667" w:rsidRPr="006C4D42" w:rsidRDefault="00137667" w:rsidP="00137667">
      <w:pPr>
        <w:rPr>
          <w:rFonts w:cstheme="minorHAnsi"/>
          <w:sz w:val="24"/>
          <w:szCs w:val="24"/>
        </w:rPr>
      </w:pPr>
      <w:r w:rsidRPr="006C4D42">
        <w:rPr>
          <w:rFonts w:cstheme="minorHAnsi"/>
          <w:sz w:val="24"/>
          <w:szCs w:val="24"/>
        </w:rPr>
        <w:t>It is our pleasure to launch the National Portrait Gallery’s second Disability Inclusion Action Plan (DIAP). This document will act as our roadmap over the next three years, as we continue to improve the accessibility and inclusivity of our organisation and the exhibitions, programs, events and facilities we provide for our community and staff. It covers onsite, online and outreach work.</w:t>
      </w:r>
    </w:p>
    <w:p w:rsidR="00137667" w:rsidRPr="006C4D42" w:rsidRDefault="00137667" w:rsidP="00137667">
      <w:pPr>
        <w:rPr>
          <w:rFonts w:cstheme="minorHAnsi"/>
          <w:sz w:val="24"/>
          <w:szCs w:val="24"/>
        </w:rPr>
      </w:pPr>
      <w:r w:rsidRPr="006C4D42">
        <w:rPr>
          <w:rFonts w:cstheme="minorHAnsi"/>
          <w:sz w:val="24"/>
          <w:szCs w:val="24"/>
        </w:rPr>
        <w:t>Everyone has a right to engage in arts and cultural activities. Eighteen per cent of our population live with disability, and they are represented in our visitors, artists, portrait subjects, staff, volunteers, donors, contractors and other stakeholders. As a National Cultural Institution, our job is to serve the public – we take our responsibility to this seriously and believe our collection is for everyone. Our DIAP is our public commitment to communicate our vision and plan to ensure we are a place where everyone feels welcome and can participate. It outlines specific priority actions, monitoring and reporting approaches which we will be delivering over the next three years.</w:t>
      </w:r>
    </w:p>
    <w:p w:rsidR="00137667" w:rsidRPr="006C4D42" w:rsidRDefault="00137667" w:rsidP="00137667">
      <w:pPr>
        <w:rPr>
          <w:rFonts w:cstheme="minorHAnsi"/>
          <w:sz w:val="24"/>
          <w:szCs w:val="24"/>
        </w:rPr>
      </w:pPr>
      <w:r w:rsidRPr="006C4D42">
        <w:rPr>
          <w:rFonts w:cstheme="minorHAnsi"/>
          <w:sz w:val="24"/>
          <w:szCs w:val="24"/>
        </w:rPr>
        <w:t>Our DIAP is focused on the social model of disability, and what we can do to remove barriers that people with disability may experience in being able to engage with us. It builds on the work undertaken during our last DIAP, much of which has now become business as usual. Through our consultation process for this DIAP, we have gained a deeper understanding of issues and barriers impacting on the Gallery’s engagement with people with disability, helping us to identify what is working and what needs to be improved. We would like to thank everyone who contributed to this process – our DIAP is more robust because of this participation.</w:t>
      </w:r>
    </w:p>
    <w:p w:rsidR="00137667" w:rsidRPr="006C4D42" w:rsidRDefault="00137667" w:rsidP="00137667">
      <w:pPr>
        <w:rPr>
          <w:rFonts w:cstheme="minorHAnsi"/>
          <w:sz w:val="24"/>
          <w:szCs w:val="24"/>
        </w:rPr>
      </w:pPr>
      <w:r w:rsidRPr="006C4D42">
        <w:rPr>
          <w:rFonts w:cstheme="minorHAnsi"/>
          <w:sz w:val="24"/>
          <w:szCs w:val="24"/>
        </w:rPr>
        <w:t>DIAP actions are spread across all aspects of the Gallery’s operations, to ensure the principles of access and inclusion are embedded throughout our business and that we are taking a whole-of-gallery approach. The DIAP is a living and breathing document and will be regularly monitored, reviewed and updated where required, reflecting a continuous cycle of feedback from and consultation with our stakeholders with disability.</w:t>
      </w:r>
    </w:p>
    <w:p w:rsidR="00137667" w:rsidRPr="006C4D42" w:rsidRDefault="00137667" w:rsidP="00137667">
      <w:pPr>
        <w:rPr>
          <w:rFonts w:cstheme="minorHAnsi"/>
          <w:sz w:val="24"/>
          <w:szCs w:val="24"/>
        </w:rPr>
      </w:pPr>
      <w:r w:rsidRPr="006C4D42">
        <w:rPr>
          <w:rFonts w:cstheme="minorHAnsi"/>
          <w:sz w:val="24"/>
          <w:szCs w:val="24"/>
        </w:rPr>
        <w:t>Our staff are committed to working together to make the Gallery a place where people with disability feel welcome and safe to visit, work or volunteer, and where they can also see themselves represented. This work is ongoing, and realising the actions within this DIAP will help us to get there.</w:t>
      </w:r>
    </w:p>
    <w:p w:rsidR="00137667" w:rsidRPr="006C4D42" w:rsidRDefault="00137667" w:rsidP="00137667">
      <w:pPr>
        <w:rPr>
          <w:rFonts w:cstheme="minorHAnsi"/>
          <w:sz w:val="24"/>
          <w:szCs w:val="24"/>
        </w:rPr>
      </w:pPr>
      <w:r w:rsidRPr="006C4D42">
        <w:rPr>
          <w:rFonts w:cstheme="minorHAnsi"/>
          <w:sz w:val="24"/>
          <w:szCs w:val="24"/>
        </w:rPr>
        <w:t>Trent Birkett</w:t>
      </w:r>
    </w:p>
    <w:p w:rsidR="00137667" w:rsidRPr="006C4D42" w:rsidRDefault="00137667" w:rsidP="00137667">
      <w:pPr>
        <w:rPr>
          <w:rFonts w:cstheme="minorHAnsi"/>
          <w:sz w:val="24"/>
          <w:szCs w:val="24"/>
        </w:rPr>
      </w:pPr>
      <w:r w:rsidRPr="006C4D42">
        <w:rPr>
          <w:rFonts w:cstheme="minorHAnsi"/>
          <w:sz w:val="24"/>
          <w:szCs w:val="24"/>
        </w:rPr>
        <w:t>Acting Director</w:t>
      </w:r>
    </w:p>
    <w:p w:rsidR="00137667" w:rsidRPr="006C4D42" w:rsidRDefault="00137667" w:rsidP="00137667">
      <w:pPr>
        <w:rPr>
          <w:rFonts w:cstheme="minorHAnsi"/>
          <w:sz w:val="24"/>
          <w:szCs w:val="24"/>
        </w:rPr>
      </w:pPr>
      <w:r w:rsidRPr="006C4D42">
        <w:rPr>
          <w:rFonts w:cstheme="minorHAnsi"/>
          <w:sz w:val="24"/>
          <w:szCs w:val="24"/>
        </w:rPr>
        <w:t>2023</w:t>
      </w:r>
    </w:p>
    <w:p w:rsidR="00137667" w:rsidRPr="006C4D42" w:rsidRDefault="00137667" w:rsidP="00137667">
      <w:pPr>
        <w:rPr>
          <w:rFonts w:cstheme="minorHAnsi"/>
          <w:sz w:val="24"/>
          <w:szCs w:val="24"/>
        </w:rPr>
      </w:pPr>
    </w:p>
    <w:p w:rsidR="00137667" w:rsidRPr="006C4D42" w:rsidRDefault="00137667">
      <w:pPr>
        <w:rPr>
          <w:rFonts w:cstheme="minorHAnsi"/>
          <w:b/>
          <w:sz w:val="24"/>
          <w:szCs w:val="24"/>
        </w:rPr>
      </w:pPr>
      <w:r w:rsidRPr="006C4D42">
        <w:rPr>
          <w:rFonts w:cstheme="minorHAnsi"/>
          <w:b/>
          <w:sz w:val="24"/>
          <w:szCs w:val="24"/>
        </w:rPr>
        <w:br w:type="page"/>
      </w:r>
    </w:p>
    <w:p w:rsidR="00137667" w:rsidRPr="006C4D42" w:rsidRDefault="00137667" w:rsidP="00137667">
      <w:pPr>
        <w:rPr>
          <w:rFonts w:cstheme="minorHAnsi"/>
          <w:b/>
          <w:sz w:val="24"/>
          <w:szCs w:val="24"/>
        </w:rPr>
      </w:pPr>
      <w:r w:rsidRPr="006C4D42">
        <w:rPr>
          <w:rFonts w:cstheme="minorHAnsi"/>
          <w:b/>
          <w:sz w:val="24"/>
          <w:szCs w:val="24"/>
        </w:rPr>
        <w:lastRenderedPageBreak/>
        <w:t>DEFINITIONS</w:t>
      </w:r>
    </w:p>
    <w:p w:rsidR="00137667" w:rsidRPr="006C4D42" w:rsidRDefault="00137667" w:rsidP="00137667">
      <w:pPr>
        <w:rPr>
          <w:rFonts w:cstheme="minorHAnsi"/>
          <w:b/>
          <w:bCs/>
          <w:sz w:val="24"/>
          <w:szCs w:val="24"/>
        </w:rPr>
      </w:pPr>
      <w:r w:rsidRPr="006C4D42">
        <w:rPr>
          <w:rFonts w:cstheme="minorHAnsi"/>
          <w:b/>
          <w:bCs/>
          <w:sz w:val="24"/>
          <w:szCs w:val="24"/>
        </w:rPr>
        <w:t>Access</w:t>
      </w:r>
    </w:p>
    <w:p w:rsidR="00137667" w:rsidRPr="006C4D42" w:rsidRDefault="00137667" w:rsidP="00137667">
      <w:pPr>
        <w:rPr>
          <w:rFonts w:cstheme="minorHAnsi"/>
          <w:sz w:val="24"/>
          <w:szCs w:val="24"/>
        </w:rPr>
      </w:pPr>
      <w:r w:rsidRPr="006C4D42">
        <w:rPr>
          <w:rFonts w:cstheme="minorHAnsi"/>
          <w:sz w:val="24"/>
          <w:szCs w:val="24"/>
        </w:rPr>
        <w:t>Access is about creating the necessary conditions for all individuals and organisations to use services, facilities, programs and employment opportunities. Access is about making space for the unique characteristics that each person brings. Barriers to equitable access can be categorised into the areas of attitudinal, communication, physical, policy and social.</w:t>
      </w:r>
    </w:p>
    <w:p w:rsidR="00137667" w:rsidRPr="006C4D42" w:rsidRDefault="00137667" w:rsidP="00137667">
      <w:pPr>
        <w:rPr>
          <w:rFonts w:cstheme="minorHAnsi"/>
          <w:b/>
          <w:bCs/>
          <w:sz w:val="24"/>
          <w:szCs w:val="24"/>
        </w:rPr>
      </w:pPr>
      <w:r w:rsidRPr="006C4D42">
        <w:rPr>
          <w:rFonts w:cstheme="minorHAnsi"/>
          <w:b/>
          <w:bCs/>
          <w:sz w:val="24"/>
          <w:szCs w:val="24"/>
        </w:rPr>
        <w:t>Disability</w:t>
      </w:r>
    </w:p>
    <w:p w:rsidR="00137667" w:rsidRPr="006C4D42" w:rsidRDefault="00137667" w:rsidP="00137667">
      <w:pPr>
        <w:rPr>
          <w:rFonts w:cstheme="minorHAnsi"/>
          <w:sz w:val="24"/>
          <w:szCs w:val="24"/>
        </w:rPr>
      </w:pPr>
      <w:r w:rsidRPr="006C4D42">
        <w:rPr>
          <w:rFonts w:cstheme="minorHAnsi"/>
          <w:sz w:val="24"/>
          <w:szCs w:val="24"/>
        </w:rPr>
        <w:t>The UN Convention on the Rights of Persons with Disabilities (2008) defines disability as including a long-term physical, psychiatric, intellectual or sensory impairment that, in interaction with various barriers, may hinder the person’s full and effective participation in the community on an equal basis with others.</w:t>
      </w:r>
    </w:p>
    <w:p w:rsidR="001C7BAB" w:rsidRPr="006C4D42" w:rsidRDefault="00137667" w:rsidP="00137667">
      <w:pPr>
        <w:rPr>
          <w:rFonts w:cstheme="minorHAnsi"/>
          <w:sz w:val="24"/>
          <w:szCs w:val="24"/>
        </w:rPr>
      </w:pPr>
      <w:r w:rsidRPr="006C4D42">
        <w:rPr>
          <w:rFonts w:cstheme="minorHAnsi"/>
          <w:sz w:val="24"/>
          <w:szCs w:val="24"/>
        </w:rPr>
        <w:t>The Disability Discrimination Act (Commonwealth) 1992 defines disability as:</w:t>
      </w:r>
    </w:p>
    <w:p w:rsidR="00137667" w:rsidRPr="006C4D42" w:rsidRDefault="00137667" w:rsidP="001C7BAB">
      <w:pPr>
        <w:pStyle w:val="ListParagraph"/>
        <w:numPr>
          <w:ilvl w:val="0"/>
          <w:numId w:val="3"/>
        </w:numPr>
        <w:rPr>
          <w:rFonts w:cstheme="minorHAnsi"/>
          <w:sz w:val="24"/>
          <w:szCs w:val="24"/>
        </w:rPr>
      </w:pPr>
      <w:r w:rsidRPr="006C4D42">
        <w:rPr>
          <w:rFonts w:cstheme="minorHAnsi"/>
          <w:sz w:val="24"/>
          <w:szCs w:val="24"/>
        </w:rPr>
        <w:t>the total or partial loss of the person’s body or mental functions</w:t>
      </w:r>
    </w:p>
    <w:p w:rsidR="00137667" w:rsidRPr="006C4D42" w:rsidRDefault="00137667" w:rsidP="001C7BAB">
      <w:pPr>
        <w:pStyle w:val="ListParagraph"/>
        <w:numPr>
          <w:ilvl w:val="0"/>
          <w:numId w:val="3"/>
        </w:numPr>
        <w:rPr>
          <w:rFonts w:cstheme="minorHAnsi"/>
          <w:sz w:val="24"/>
          <w:szCs w:val="24"/>
        </w:rPr>
      </w:pPr>
      <w:r w:rsidRPr="006C4D42">
        <w:rPr>
          <w:rFonts w:cstheme="minorHAnsi"/>
          <w:sz w:val="24"/>
          <w:szCs w:val="24"/>
        </w:rPr>
        <w:t>the total or partial loss of a part of the body</w:t>
      </w:r>
    </w:p>
    <w:p w:rsidR="00137667" w:rsidRPr="006C4D42" w:rsidRDefault="00137667" w:rsidP="001C7BAB">
      <w:pPr>
        <w:pStyle w:val="ListParagraph"/>
        <w:numPr>
          <w:ilvl w:val="0"/>
          <w:numId w:val="3"/>
        </w:numPr>
        <w:rPr>
          <w:rFonts w:cstheme="minorHAnsi"/>
          <w:sz w:val="24"/>
          <w:szCs w:val="24"/>
        </w:rPr>
      </w:pPr>
      <w:r w:rsidRPr="006C4D42">
        <w:rPr>
          <w:rFonts w:cstheme="minorHAnsi"/>
          <w:sz w:val="24"/>
          <w:szCs w:val="24"/>
        </w:rPr>
        <w:t>the presence in the body of organisms causing disease or illness</w:t>
      </w:r>
    </w:p>
    <w:p w:rsidR="00137667" w:rsidRPr="006C4D42" w:rsidRDefault="00137667" w:rsidP="001C7BAB">
      <w:pPr>
        <w:pStyle w:val="ListParagraph"/>
        <w:numPr>
          <w:ilvl w:val="0"/>
          <w:numId w:val="3"/>
        </w:numPr>
        <w:rPr>
          <w:rFonts w:cstheme="minorHAnsi"/>
          <w:sz w:val="24"/>
          <w:szCs w:val="24"/>
        </w:rPr>
      </w:pPr>
      <w:r w:rsidRPr="006C4D42">
        <w:rPr>
          <w:rFonts w:cstheme="minorHAnsi"/>
          <w:sz w:val="24"/>
          <w:szCs w:val="24"/>
        </w:rPr>
        <w:t>the malfunction, malformation or disfigurement of a part of the person’s body</w:t>
      </w:r>
    </w:p>
    <w:p w:rsidR="00137667" w:rsidRPr="006C4D42" w:rsidRDefault="00137667" w:rsidP="00137667">
      <w:pPr>
        <w:pStyle w:val="ListParagraph"/>
        <w:numPr>
          <w:ilvl w:val="0"/>
          <w:numId w:val="3"/>
        </w:numPr>
        <w:rPr>
          <w:rFonts w:cstheme="minorHAnsi"/>
          <w:sz w:val="24"/>
          <w:szCs w:val="24"/>
        </w:rPr>
      </w:pPr>
      <w:r w:rsidRPr="006C4D42">
        <w:rPr>
          <w:rFonts w:cstheme="minorHAnsi"/>
          <w:sz w:val="24"/>
          <w:szCs w:val="24"/>
        </w:rPr>
        <w:t>a disorder or malfunction that results in the person learning differently from a person without the disorder or malfunction.1</w:t>
      </w:r>
    </w:p>
    <w:p w:rsidR="00137667" w:rsidRPr="006C4D42" w:rsidRDefault="00137667" w:rsidP="00137667">
      <w:pPr>
        <w:rPr>
          <w:rFonts w:cstheme="minorHAnsi"/>
          <w:b/>
          <w:bCs/>
          <w:sz w:val="24"/>
          <w:szCs w:val="24"/>
        </w:rPr>
      </w:pPr>
      <w:r w:rsidRPr="006C4D42">
        <w:rPr>
          <w:rFonts w:cstheme="minorHAnsi"/>
          <w:b/>
          <w:bCs/>
          <w:sz w:val="24"/>
          <w:szCs w:val="24"/>
        </w:rPr>
        <w:t>Inclusion</w:t>
      </w:r>
    </w:p>
    <w:p w:rsidR="00137667" w:rsidRPr="006C4D42" w:rsidRDefault="00137667" w:rsidP="00137667">
      <w:pPr>
        <w:rPr>
          <w:rFonts w:cstheme="minorHAnsi"/>
          <w:sz w:val="24"/>
          <w:szCs w:val="24"/>
        </w:rPr>
      </w:pPr>
      <w:r w:rsidRPr="006C4D42">
        <w:rPr>
          <w:rFonts w:cstheme="minorHAnsi"/>
          <w:sz w:val="24"/>
          <w:szCs w:val="24"/>
        </w:rPr>
        <w:t>Inclusion is the process in which every person (irrespective of age, disability, gender, religion, sexual preference or ethnicity) who wishes to can access and participate fully in all aspects of an activity or service in the same way as any other member of the community.</w:t>
      </w:r>
    </w:p>
    <w:p w:rsidR="00137667" w:rsidRPr="006C4D42" w:rsidRDefault="00137667" w:rsidP="00137667">
      <w:pPr>
        <w:rPr>
          <w:rFonts w:cstheme="minorHAnsi"/>
          <w:sz w:val="24"/>
          <w:szCs w:val="24"/>
        </w:rPr>
      </w:pPr>
      <w:r w:rsidRPr="006C4D42">
        <w:rPr>
          <w:rFonts w:cstheme="minorHAnsi"/>
          <w:sz w:val="24"/>
          <w:szCs w:val="24"/>
        </w:rPr>
        <w:t>According to the research report ‘Towards new indicators of disadvantage: Deprivation and social exclusion in Australia’ (2007) published by UNSW’s Social Policy Research Centre, dimensions of inclusion include:</w:t>
      </w:r>
    </w:p>
    <w:p w:rsidR="00137667" w:rsidRPr="006C4D42" w:rsidRDefault="00137667" w:rsidP="001C7BAB">
      <w:pPr>
        <w:pStyle w:val="ListParagraph"/>
        <w:numPr>
          <w:ilvl w:val="0"/>
          <w:numId w:val="2"/>
        </w:numPr>
        <w:rPr>
          <w:rFonts w:cstheme="minorHAnsi"/>
          <w:sz w:val="24"/>
          <w:szCs w:val="24"/>
        </w:rPr>
      </w:pPr>
      <w:r w:rsidRPr="006C4D42">
        <w:rPr>
          <w:rFonts w:cstheme="minorHAnsi"/>
          <w:sz w:val="24"/>
          <w:szCs w:val="24"/>
        </w:rPr>
        <w:t>being heard and valued</w:t>
      </w:r>
    </w:p>
    <w:p w:rsidR="00137667" w:rsidRPr="006C4D42" w:rsidRDefault="00137667" w:rsidP="001C7BAB">
      <w:pPr>
        <w:pStyle w:val="ListParagraph"/>
        <w:numPr>
          <w:ilvl w:val="0"/>
          <w:numId w:val="2"/>
        </w:numPr>
        <w:rPr>
          <w:rFonts w:cstheme="minorHAnsi"/>
          <w:sz w:val="24"/>
          <w:szCs w:val="24"/>
        </w:rPr>
      </w:pPr>
      <w:r w:rsidRPr="006C4D42">
        <w:rPr>
          <w:rFonts w:cstheme="minorHAnsi"/>
          <w:sz w:val="24"/>
          <w:szCs w:val="24"/>
        </w:rPr>
        <w:t>meaningful participation</w:t>
      </w:r>
    </w:p>
    <w:p w:rsidR="00137667" w:rsidRPr="006C4D42" w:rsidRDefault="00137667" w:rsidP="001C7BAB">
      <w:pPr>
        <w:pStyle w:val="ListParagraph"/>
        <w:numPr>
          <w:ilvl w:val="0"/>
          <w:numId w:val="2"/>
        </w:numPr>
        <w:rPr>
          <w:rFonts w:cstheme="minorHAnsi"/>
          <w:sz w:val="24"/>
          <w:szCs w:val="24"/>
        </w:rPr>
      </w:pPr>
      <w:r w:rsidRPr="006C4D42">
        <w:rPr>
          <w:rFonts w:cstheme="minorHAnsi"/>
          <w:sz w:val="24"/>
          <w:szCs w:val="24"/>
        </w:rPr>
        <w:t>connection and belonging</w:t>
      </w:r>
    </w:p>
    <w:p w:rsidR="00137667" w:rsidRPr="006C4D42" w:rsidRDefault="00137667" w:rsidP="001C7BAB">
      <w:pPr>
        <w:pStyle w:val="ListParagraph"/>
        <w:numPr>
          <w:ilvl w:val="0"/>
          <w:numId w:val="2"/>
        </w:numPr>
        <w:rPr>
          <w:rFonts w:cstheme="minorHAnsi"/>
          <w:sz w:val="24"/>
          <w:szCs w:val="24"/>
        </w:rPr>
      </w:pPr>
      <w:r w:rsidRPr="006C4D42">
        <w:rPr>
          <w:rFonts w:cstheme="minorHAnsi"/>
          <w:sz w:val="24"/>
          <w:szCs w:val="24"/>
        </w:rPr>
        <w:t>opportunity to access supports</w:t>
      </w:r>
    </w:p>
    <w:p w:rsidR="00137667" w:rsidRPr="006C4D42" w:rsidRDefault="00137667" w:rsidP="001C7BAB">
      <w:pPr>
        <w:pStyle w:val="ListParagraph"/>
        <w:numPr>
          <w:ilvl w:val="0"/>
          <w:numId w:val="2"/>
        </w:numPr>
        <w:rPr>
          <w:rFonts w:cstheme="minorHAnsi"/>
          <w:sz w:val="24"/>
          <w:szCs w:val="24"/>
        </w:rPr>
      </w:pPr>
      <w:r w:rsidRPr="006C4D42">
        <w:rPr>
          <w:rFonts w:cstheme="minorHAnsi"/>
          <w:sz w:val="24"/>
          <w:szCs w:val="24"/>
        </w:rPr>
        <w:t>choice and control in your life.</w:t>
      </w:r>
    </w:p>
    <w:p w:rsidR="00137667" w:rsidRPr="006C4D42" w:rsidRDefault="00137667" w:rsidP="00137667">
      <w:pPr>
        <w:rPr>
          <w:rFonts w:cstheme="minorHAnsi"/>
          <w:sz w:val="24"/>
          <w:szCs w:val="24"/>
        </w:rPr>
      </w:pPr>
      <w:r w:rsidRPr="006C4D42">
        <w:rPr>
          <w:rFonts w:cstheme="minorHAnsi"/>
          <w:sz w:val="24"/>
          <w:szCs w:val="24"/>
        </w:rPr>
        <w:t>Inclusion is not about helping others to access the society we have. It is about changing the society we have. Inclusion is about making society mean everyone.2</w:t>
      </w:r>
    </w:p>
    <w:p w:rsidR="00137667" w:rsidRPr="006C4D42" w:rsidRDefault="00137667" w:rsidP="00137667">
      <w:pPr>
        <w:rPr>
          <w:rFonts w:cstheme="minorHAnsi"/>
          <w:b/>
          <w:bCs/>
          <w:sz w:val="24"/>
          <w:szCs w:val="24"/>
        </w:rPr>
      </w:pPr>
      <w:r w:rsidRPr="006C4D42">
        <w:rPr>
          <w:rFonts w:cstheme="minorHAnsi"/>
          <w:b/>
          <w:bCs/>
          <w:sz w:val="24"/>
          <w:szCs w:val="24"/>
        </w:rPr>
        <w:t>Intersectionality</w:t>
      </w:r>
    </w:p>
    <w:p w:rsidR="00137667" w:rsidRPr="006C4D42" w:rsidRDefault="00137667" w:rsidP="00137667">
      <w:pPr>
        <w:rPr>
          <w:rFonts w:cstheme="minorHAnsi"/>
          <w:sz w:val="24"/>
          <w:szCs w:val="24"/>
        </w:rPr>
      </w:pPr>
      <w:r w:rsidRPr="006C4D42">
        <w:rPr>
          <w:rFonts w:cstheme="minorHAnsi"/>
          <w:sz w:val="24"/>
          <w:szCs w:val="24"/>
        </w:rPr>
        <w:t xml:space="preserve">We understand that the barriers people with disability experience can compound and layer when an individual is part of more than one underrepresented group. Recognising that people’s lives are multi-dimensional and complex, we aim to take an intersectional approach in our thinking around accessibility. Intersectionality recognises the diversity of </w:t>
      </w:r>
      <w:r w:rsidRPr="006C4D42">
        <w:rPr>
          <w:rFonts w:cstheme="minorHAnsi"/>
          <w:sz w:val="24"/>
          <w:szCs w:val="24"/>
        </w:rPr>
        <w:lastRenderedPageBreak/>
        <w:t>experiences within marginalised groups and provides a framework for recognising and addressing the needs of individuals who are most disadvantaged, setting a pathway for a more just and equitable world.</w:t>
      </w:r>
    </w:p>
    <w:p w:rsidR="00137667" w:rsidRPr="006C4D42" w:rsidRDefault="00137667" w:rsidP="00137667">
      <w:pPr>
        <w:rPr>
          <w:rFonts w:cstheme="minorHAnsi"/>
          <w:sz w:val="24"/>
          <w:szCs w:val="24"/>
        </w:rPr>
      </w:pPr>
      <w:r w:rsidRPr="006C4D42">
        <w:rPr>
          <w:rFonts w:cstheme="minorHAnsi"/>
          <w:sz w:val="24"/>
          <w:szCs w:val="24"/>
        </w:rPr>
        <w:t>We are mindful of these intersections and aim to provide good access for people with disability from all backgrounds and lived experiences. This includes First Nations people, culturally and linguistically diverse people, women and non-binary people, members of the LGBTQIA+ community, people from regional and remote areas, older people, children and young people, and people from low socioeconomic backgrounds.3</w:t>
      </w:r>
    </w:p>
    <w:p w:rsidR="00BF222F" w:rsidRPr="006C4D42" w:rsidRDefault="00BF222F" w:rsidP="00137667">
      <w:pPr>
        <w:rPr>
          <w:rFonts w:cstheme="minorHAnsi"/>
          <w:sz w:val="24"/>
          <w:szCs w:val="24"/>
        </w:rPr>
      </w:pPr>
    </w:p>
    <w:p w:rsidR="00BF222F" w:rsidRPr="006C4D42" w:rsidRDefault="00BF222F" w:rsidP="00BF222F">
      <w:pPr>
        <w:rPr>
          <w:rFonts w:cstheme="minorHAnsi"/>
          <w:sz w:val="24"/>
          <w:szCs w:val="24"/>
        </w:rPr>
      </w:pPr>
      <w:r w:rsidRPr="006C4D42">
        <w:rPr>
          <w:rFonts w:cstheme="minorHAnsi"/>
          <w:sz w:val="24"/>
          <w:szCs w:val="24"/>
        </w:rPr>
        <w:t xml:space="preserve">1 </w:t>
      </w:r>
      <w:hyperlink r:id="rId5" w:history="1">
        <w:r w:rsidRPr="006C4D42">
          <w:rPr>
            <w:rStyle w:val="Hyperlink"/>
            <w:rFonts w:cstheme="minorHAnsi"/>
            <w:sz w:val="24"/>
            <w:szCs w:val="24"/>
          </w:rPr>
          <w:t>https://www.legislation.gov.au/Details/C2018C00125</w:t>
        </w:r>
      </w:hyperlink>
    </w:p>
    <w:p w:rsidR="00BF222F" w:rsidRPr="006C4D42" w:rsidRDefault="00BF222F" w:rsidP="00137667">
      <w:pPr>
        <w:rPr>
          <w:rFonts w:cstheme="minorHAnsi"/>
          <w:sz w:val="24"/>
          <w:szCs w:val="24"/>
        </w:rPr>
      </w:pPr>
      <w:r w:rsidRPr="006C4D42">
        <w:rPr>
          <w:rFonts w:cstheme="minorHAnsi"/>
          <w:sz w:val="24"/>
          <w:szCs w:val="24"/>
        </w:rPr>
        <w:t xml:space="preserve">2 </w:t>
      </w:r>
      <w:hyperlink r:id="rId6" w:history="1">
        <w:r w:rsidRPr="006C4D42">
          <w:rPr>
            <w:rStyle w:val="Hyperlink"/>
            <w:rFonts w:cstheme="minorHAnsi"/>
            <w:sz w:val="24"/>
            <w:szCs w:val="24"/>
          </w:rPr>
          <w:t>https://library.bsl.org.au/jspui/bitstream/1/6119/1/Saunders_etal_towards_new_indicators_of_disadvantage_deprivation_and_social_exclusion.pdf</w:t>
        </w:r>
      </w:hyperlink>
      <w:r w:rsidRPr="006C4D42">
        <w:rPr>
          <w:rFonts w:cstheme="minorHAnsi"/>
          <w:sz w:val="24"/>
          <w:szCs w:val="24"/>
        </w:rPr>
        <w:t xml:space="preserve"> </w:t>
      </w:r>
    </w:p>
    <w:p w:rsidR="00137667" w:rsidRPr="006C4D42" w:rsidRDefault="00137667" w:rsidP="00137667">
      <w:pPr>
        <w:rPr>
          <w:rFonts w:cstheme="minorHAnsi"/>
          <w:sz w:val="24"/>
          <w:szCs w:val="24"/>
        </w:rPr>
      </w:pPr>
      <w:r w:rsidRPr="006C4D42">
        <w:rPr>
          <w:rFonts w:cstheme="minorHAnsi"/>
          <w:sz w:val="24"/>
          <w:szCs w:val="24"/>
        </w:rPr>
        <w:t xml:space="preserve">3 </w:t>
      </w:r>
      <w:hyperlink r:id="rId7" w:history="1">
        <w:r w:rsidRPr="006C4D42">
          <w:rPr>
            <w:rStyle w:val="Hyperlink"/>
            <w:rFonts w:cstheme="minorHAnsi"/>
            <w:sz w:val="24"/>
            <w:szCs w:val="24"/>
          </w:rPr>
          <w:t>http://www.lgbtiqintersect.org.au/learning-modules/intersectionality/</w:t>
        </w:r>
      </w:hyperlink>
    </w:p>
    <w:p w:rsidR="00137667" w:rsidRPr="006C4D42" w:rsidRDefault="00137667" w:rsidP="00137667">
      <w:pPr>
        <w:rPr>
          <w:rFonts w:cstheme="minorHAnsi"/>
          <w:sz w:val="24"/>
          <w:szCs w:val="24"/>
        </w:rPr>
      </w:pPr>
    </w:p>
    <w:p w:rsidR="00137667" w:rsidRPr="006C4D42" w:rsidRDefault="00137667">
      <w:pPr>
        <w:rPr>
          <w:rFonts w:cstheme="minorHAnsi"/>
          <w:sz w:val="24"/>
          <w:szCs w:val="24"/>
        </w:rPr>
      </w:pPr>
      <w:r w:rsidRPr="006C4D42">
        <w:rPr>
          <w:rFonts w:cstheme="minorHAnsi"/>
          <w:sz w:val="24"/>
          <w:szCs w:val="24"/>
        </w:rPr>
        <w:br w:type="page"/>
      </w:r>
    </w:p>
    <w:p w:rsidR="00137667" w:rsidRPr="006C4D42" w:rsidRDefault="00137667" w:rsidP="00137667">
      <w:pPr>
        <w:rPr>
          <w:rFonts w:cstheme="minorHAnsi"/>
          <w:b/>
          <w:sz w:val="24"/>
          <w:szCs w:val="24"/>
        </w:rPr>
      </w:pPr>
      <w:r w:rsidRPr="006C4D42">
        <w:rPr>
          <w:rFonts w:cstheme="minorHAnsi"/>
          <w:b/>
          <w:sz w:val="24"/>
          <w:szCs w:val="24"/>
        </w:rPr>
        <w:lastRenderedPageBreak/>
        <w:t>WHO WE ARE AND WHAT WE DO</w:t>
      </w:r>
    </w:p>
    <w:p w:rsidR="00137667" w:rsidRPr="006C4D42" w:rsidRDefault="00137667" w:rsidP="00137667">
      <w:pPr>
        <w:rPr>
          <w:rFonts w:cstheme="minorHAnsi"/>
          <w:sz w:val="24"/>
          <w:szCs w:val="24"/>
        </w:rPr>
      </w:pPr>
      <w:r w:rsidRPr="006C4D42">
        <w:rPr>
          <w:rFonts w:cstheme="minorHAnsi"/>
          <w:sz w:val="24"/>
          <w:szCs w:val="24"/>
        </w:rPr>
        <w:t xml:space="preserve">The National Portrait Gallery is an award-winning building situated within Canberra’s Parliamentary Triangle, the symbolic centre of Australia’s capital city on Ngunnawal and </w:t>
      </w:r>
      <w:proofErr w:type="spellStart"/>
      <w:r w:rsidRPr="006C4D42">
        <w:rPr>
          <w:rFonts w:cstheme="minorHAnsi"/>
          <w:sz w:val="24"/>
          <w:szCs w:val="24"/>
        </w:rPr>
        <w:t>Ngambri</w:t>
      </w:r>
      <w:proofErr w:type="spellEnd"/>
      <w:r w:rsidRPr="006C4D42">
        <w:rPr>
          <w:rFonts w:cstheme="minorHAnsi"/>
          <w:sz w:val="24"/>
          <w:szCs w:val="24"/>
        </w:rPr>
        <w:t xml:space="preserve"> land. The Gallery began its life in 1998 with the idea</w:t>
      </w:r>
      <w:r w:rsidR="008E35FC" w:rsidRPr="006C4D42">
        <w:rPr>
          <w:rFonts w:cstheme="minorHAnsi"/>
          <w:sz w:val="24"/>
          <w:szCs w:val="24"/>
        </w:rPr>
        <w:t xml:space="preserve"> </w:t>
      </w:r>
      <w:r w:rsidRPr="006C4D42">
        <w:rPr>
          <w:rFonts w:cstheme="minorHAnsi"/>
          <w:sz w:val="24"/>
          <w:szCs w:val="24"/>
        </w:rPr>
        <w:t>that the story of Australia could be told through portraits of</w:t>
      </w:r>
      <w:r w:rsidR="008E35FC" w:rsidRPr="006C4D42">
        <w:rPr>
          <w:rFonts w:cstheme="minorHAnsi"/>
          <w:sz w:val="24"/>
          <w:szCs w:val="24"/>
        </w:rPr>
        <w:t xml:space="preserve"> </w:t>
      </w:r>
      <w:r w:rsidRPr="006C4D42">
        <w:rPr>
          <w:rFonts w:cstheme="minorHAnsi"/>
          <w:sz w:val="24"/>
          <w:szCs w:val="24"/>
        </w:rPr>
        <w:t>our most remarkable citizens. The current building opened in</w:t>
      </w:r>
      <w:r w:rsidR="008E35FC" w:rsidRPr="006C4D42">
        <w:rPr>
          <w:rFonts w:cstheme="minorHAnsi"/>
          <w:sz w:val="24"/>
          <w:szCs w:val="24"/>
        </w:rPr>
        <w:t xml:space="preserve"> </w:t>
      </w:r>
      <w:r w:rsidRPr="006C4D42">
        <w:rPr>
          <w:rFonts w:cstheme="minorHAnsi"/>
          <w:sz w:val="24"/>
          <w:szCs w:val="24"/>
        </w:rPr>
        <w:t>2008, featuring nine galleries arranged on one level, providing</w:t>
      </w:r>
      <w:r w:rsidR="008E35FC" w:rsidRPr="006C4D42">
        <w:rPr>
          <w:rFonts w:cstheme="minorHAnsi"/>
          <w:sz w:val="24"/>
          <w:szCs w:val="24"/>
        </w:rPr>
        <w:t xml:space="preserve"> </w:t>
      </w:r>
      <w:r w:rsidRPr="006C4D42">
        <w:rPr>
          <w:rFonts w:cstheme="minorHAnsi"/>
          <w:sz w:val="24"/>
          <w:szCs w:val="24"/>
        </w:rPr>
        <w:t>exhibition space for about 500 portraits for our visitors.</w:t>
      </w:r>
    </w:p>
    <w:p w:rsidR="00137667" w:rsidRPr="006C4D42" w:rsidRDefault="00137667" w:rsidP="00137667">
      <w:pPr>
        <w:rPr>
          <w:rFonts w:cstheme="minorHAnsi"/>
          <w:sz w:val="24"/>
          <w:szCs w:val="24"/>
        </w:rPr>
      </w:pPr>
      <w:r w:rsidRPr="006C4D42">
        <w:rPr>
          <w:rFonts w:cstheme="minorHAnsi"/>
          <w:sz w:val="24"/>
          <w:szCs w:val="24"/>
        </w:rPr>
        <w:t>The Gallery houses the national collection of portraits of</w:t>
      </w:r>
      <w:r w:rsidR="008E35FC" w:rsidRPr="006C4D42">
        <w:rPr>
          <w:rFonts w:cstheme="minorHAnsi"/>
          <w:sz w:val="24"/>
          <w:szCs w:val="24"/>
        </w:rPr>
        <w:t xml:space="preserve"> </w:t>
      </w:r>
      <w:r w:rsidRPr="006C4D42">
        <w:rPr>
          <w:rFonts w:cstheme="minorHAnsi"/>
          <w:sz w:val="24"/>
          <w:szCs w:val="24"/>
        </w:rPr>
        <w:t>Australians, reflecting the breadth and energy of Australian</w:t>
      </w:r>
      <w:r w:rsidR="008E35FC" w:rsidRPr="006C4D42">
        <w:rPr>
          <w:rFonts w:cstheme="minorHAnsi"/>
          <w:sz w:val="24"/>
          <w:szCs w:val="24"/>
        </w:rPr>
        <w:t xml:space="preserve"> </w:t>
      </w:r>
      <w:r w:rsidRPr="006C4D42">
        <w:rPr>
          <w:rFonts w:cstheme="minorHAnsi"/>
          <w:sz w:val="24"/>
          <w:szCs w:val="24"/>
        </w:rPr>
        <w:t>culture and endeavour. Subjects in the collection are individuals</w:t>
      </w:r>
      <w:r w:rsidR="008E35FC" w:rsidRPr="006C4D42">
        <w:rPr>
          <w:rFonts w:cstheme="minorHAnsi"/>
          <w:sz w:val="24"/>
          <w:szCs w:val="24"/>
        </w:rPr>
        <w:t xml:space="preserve"> </w:t>
      </w:r>
      <w:r w:rsidRPr="006C4D42">
        <w:rPr>
          <w:rFonts w:cstheme="minorHAnsi"/>
          <w:sz w:val="24"/>
          <w:szCs w:val="24"/>
        </w:rPr>
        <w:t>who have made a significant contribution to Australian life. As</w:t>
      </w:r>
      <w:r w:rsidR="008E35FC" w:rsidRPr="006C4D42">
        <w:rPr>
          <w:rFonts w:cstheme="minorHAnsi"/>
          <w:sz w:val="24"/>
          <w:szCs w:val="24"/>
        </w:rPr>
        <w:t xml:space="preserve"> </w:t>
      </w:r>
      <w:r w:rsidRPr="006C4D42">
        <w:rPr>
          <w:rFonts w:cstheme="minorHAnsi"/>
          <w:sz w:val="24"/>
          <w:szCs w:val="24"/>
        </w:rPr>
        <w:t>part of a group of national collecting institutions, the Gallery is</w:t>
      </w:r>
      <w:r w:rsidR="008E35FC" w:rsidRPr="006C4D42">
        <w:rPr>
          <w:rFonts w:cstheme="minorHAnsi"/>
          <w:sz w:val="24"/>
          <w:szCs w:val="24"/>
        </w:rPr>
        <w:t xml:space="preserve"> </w:t>
      </w:r>
      <w:r w:rsidRPr="006C4D42">
        <w:rPr>
          <w:rFonts w:cstheme="minorHAnsi"/>
          <w:sz w:val="24"/>
          <w:szCs w:val="24"/>
        </w:rPr>
        <w:t>unique in its exclusive use of portraiture to explore Australian</w:t>
      </w:r>
      <w:r w:rsidR="008E35FC" w:rsidRPr="006C4D42">
        <w:rPr>
          <w:rFonts w:cstheme="minorHAnsi"/>
          <w:sz w:val="24"/>
          <w:szCs w:val="24"/>
        </w:rPr>
        <w:t xml:space="preserve"> </w:t>
      </w:r>
      <w:r w:rsidRPr="006C4D42">
        <w:rPr>
          <w:rFonts w:cstheme="minorHAnsi"/>
          <w:sz w:val="24"/>
          <w:szCs w:val="24"/>
        </w:rPr>
        <w:t>culture, history, achievement and identity. The Gallery provides</w:t>
      </w:r>
      <w:r w:rsidR="008E35FC" w:rsidRPr="006C4D42">
        <w:rPr>
          <w:rFonts w:cstheme="minorHAnsi"/>
          <w:sz w:val="24"/>
          <w:szCs w:val="24"/>
        </w:rPr>
        <w:t xml:space="preserve"> </w:t>
      </w:r>
      <w:r w:rsidRPr="006C4D42">
        <w:rPr>
          <w:rFonts w:cstheme="minorHAnsi"/>
          <w:sz w:val="24"/>
          <w:szCs w:val="24"/>
        </w:rPr>
        <w:t>a forum for the free and respectful discussion of national</w:t>
      </w:r>
      <w:r w:rsidR="008E35FC" w:rsidRPr="006C4D42">
        <w:rPr>
          <w:rFonts w:cstheme="minorHAnsi"/>
          <w:sz w:val="24"/>
          <w:szCs w:val="24"/>
        </w:rPr>
        <w:t xml:space="preserve"> </w:t>
      </w:r>
      <w:r w:rsidRPr="006C4D42">
        <w:rPr>
          <w:rFonts w:cstheme="minorHAnsi"/>
          <w:sz w:val="24"/>
          <w:szCs w:val="24"/>
        </w:rPr>
        <w:t>identity. We focus on both subject and artist.</w:t>
      </w:r>
    </w:p>
    <w:p w:rsidR="00137667" w:rsidRPr="006C4D42" w:rsidRDefault="00137667" w:rsidP="00137667">
      <w:pPr>
        <w:rPr>
          <w:rFonts w:cstheme="minorHAnsi"/>
          <w:sz w:val="24"/>
          <w:szCs w:val="24"/>
        </w:rPr>
      </w:pPr>
      <w:r w:rsidRPr="006C4D42">
        <w:rPr>
          <w:rFonts w:cstheme="minorHAnsi"/>
          <w:sz w:val="24"/>
          <w:szCs w:val="24"/>
        </w:rPr>
        <w:t>Building on past achievement, and to continue to develop the</w:t>
      </w:r>
      <w:r w:rsidR="008E35FC" w:rsidRPr="006C4D42">
        <w:rPr>
          <w:rFonts w:cstheme="minorHAnsi"/>
          <w:sz w:val="24"/>
          <w:szCs w:val="24"/>
        </w:rPr>
        <w:t xml:space="preserve"> </w:t>
      </w:r>
      <w:r w:rsidRPr="006C4D42">
        <w:rPr>
          <w:rFonts w:cstheme="minorHAnsi"/>
          <w:sz w:val="24"/>
          <w:szCs w:val="24"/>
        </w:rPr>
        <w:t>Gallery as an inspirational art gallery of international standing</w:t>
      </w:r>
      <w:r w:rsidR="008E35FC" w:rsidRPr="006C4D42">
        <w:rPr>
          <w:rFonts w:cstheme="minorHAnsi"/>
          <w:sz w:val="24"/>
          <w:szCs w:val="24"/>
        </w:rPr>
        <w:t xml:space="preserve"> </w:t>
      </w:r>
      <w:r w:rsidRPr="006C4D42">
        <w:rPr>
          <w:rFonts w:cstheme="minorHAnsi"/>
          <w:sz w:val="24"/>
          <w:szCs w:val="24"/>
        </w:rPr>
        <w:t>accessible to all Australians, the current Corporate Plan</w:t>
      </w:r>
      <w:r w:rsidR="008E35FC" w:rsidRPr="006C4D42">
        <w:rPr>
          <w:rFonts w:cstheme="minorHAnsi"/>
          <w:sz w:val="24"/>
          <w:szCs w:val="24"/>
        </w:rPr>
        <w:t xml:space="preserve"> </w:t>
      </w:r>
      <w:r w:rsidRPr="006C4D42">
        <w:rPr>
          <w:rFonts w:cstheme="minorHAnsi"/>
          <w:sz w:val="24"/>
          <w:szCs w:val="24"/>
        </w:rPr>
        <w:t>2022–23 identifies four strategic pillars which seek to:</w:t>
      </w:r>
    </w:p>
    <w:p w:rsidR="00137667" w:rsidRPr="006C4D42" w:rsidRDefault="00137667" w:rsidP="00137667">
      <w:pPr>
        <w:rPr>
          <w:rFonts w:cstheme="minorHAnsi"/>
          <w:sz w:val="24"/>
          <w:szCs w:val="24"/>
        </w:rPr>
      </w:pPr>
      <w:r w:rsidRPr="006C4D42">
        <w:rPr>
          <w:rFonts w:cstheme="minorHAnsi"/>
          <w:sz w:val="24"/>
          <w:szCs w:val="24"/>
        </w:rPr>
        <w:t>1 Enliven the collection</w:t>
      </w:r>
    </w:p>
    <w:p w:rsidR="00137667" w:rsidRPr="006C4D42" w:rsidRDefault="00137667" w:rsidP="00137667">
      <w:pPr>
        <w:rPr>
          <w:rFonts w:cstheme="minorHAnsi"/>
          <w:sz w:val="24"/>
          <w:szCs w:val="24"/>
        </w:rPr>
      </w:pPr>
      <w:r w:rsidRPr="006C4D42">
        <w:rPr>
          <w:rFonts w:cstheme="minorHAnsi"/>
          <w:sz w:val="24"/>
          <w:szCs w:val="24"/>
        </w:rPr>
        <w:t>2 Engage with audiences</w:t>
      </w:r>
    </w:p>
    <w:p w:rsidR="00137667" w:rsidRPr="006C4D42" w:rsidRDefault="00137667" w:rsidP="00137667">
      <w:pPr>
        <w:rPr>
          <w:rFonts w:cstheme="minorHAnsi"/>
          <w:sz w:val="24"/>
          <w:szCs w:val="24"/>
        </w:rPr>
      </w:pPr>
      <w:r w:rsidRPr="006C4D42">
        <w:rPr>
          <w:rFonts w:cstheme="minorHAnsi"/>
          <w:sz w:val="24"/>
          <w:szCs w:val="24"/>
        </w:rPr>
        <w:t>3 Increase support</w:t>
      </w:r>
    </w:p>
    <w:p w:rsidR="00137667" w:rsidRPr="006C4D42" w:rsidRDefault="00137667" w:rsidP="00137667">
      <w:pPr>
        <w:rPr>
          <w:rFonts w:cstheme="minorHAnsi"/>
          <w:sz w:val="24"/>
          <w:szCs w:val="24"/>
        </w:rPr>
      </w:pPr>
      <w:r w:rsidRPr="006C4D42">
        <w:rPr>
          <w:rFonts w:cstheme="minorHAnsi"/>
          <w:sz w:val="24"/>
          <w:szCs w:val="24"/>
        </w:rPr>
        <w:t>4 Invest in people and resources.</w:t>
      </w:r>
    </w:p>
    <w:p w:rsidR="008E35FC" w:rsidRPr="006C4D42" w:rsidRDefault="008E35FC">
      <w:pPr>
        <w:rPr>
          <w:rFonts w:cstheme="minorHAnsi"/>
          <w:sz w:val="24"/>
          <w:szCs w:val="24"/>
        </w:rPr>
      </w:pPr>
      <w:r w:rsidRPr="006C4D42">
        <w:rPr>
          <w:rFonts w:cstheme="minorHAnsi"/>
          <w:sz w:val="24"/>
          <w:szCs w:val="24"/>
        </w:rPr>
        <w:br w:type="page"/>
      </w:r>
    </w:p>
    <w:p w:rsidR="008E35FC" w:rsidRPr="006C4D42" w:rsidRDefault="008E35FC" w:rsidP="008E35FC">
      <w:pPr>
        <w:rPr>
          <w:rFonts w:cstheme="minorHAnsi"/>
          <w:b/>
          <w:sz w:val="24"/>
          <w:szCs w:val="24"/>
        </w:rPr>
      </w:pPr>
      <w:r w:rsidRPr="006C4D42">
        <w:rPr>
          <w:rFonts w:cstheme="minorHAnsi"/>
          <w:b/>
          <w:sz w:val="24"/>
          <w:szCs w:val="24"/>
        </w:rPr>
        <w:lastRenderedPageBreak/>
        <w:t>DISABILITY IN AUSTRALIA</w:t>
      </w:r>
    </w:p>
    <w:p w:rsidR="008E35FC" w:rsidRPr="006C4D42" w:rsidRDefault="008E35FC" w:rsidP="008E35FC">
      <w:pPr>
        <w:rPr>
          <w:rFonts w:cstheme="minorHAnsi"/>
          <w:sz w:val="24"/>
          <w:szCs w:val="24"/>
        </w:rPr>
      </w:pPr>
      <w:r w:rsidRPr="006C4D42">
        <w:rPr>
          <w:rFonts w:cstheme="minorHAnsi"/>
          <w:sz w:val="24"/>
          <w:szCs w:val="24"/>
        </w:rPr>
        <w:t>The Gallery subscribes to the social model of disability that distinctively signals the difference between a person’s individual condition or impairment, and the barriers they experience which are created by the environment and society around them. Rather than focusing on the individual and medical diagnosis the social model focuses on the ‘barriers’ that create disadvantage by limiting opportunity, participation, autonomy and self-expression.</w:t>
      </w:r>
    </w:p>
    <w:p w:rsidR="001C7BAB" w:rsidRPr="006C4D42" w:rsidRDefault="008E35FC" w:rsidP="008E35FC">
      <w:pPr>
        <w:rPr>
          <w:rFonts w:cstheme="minorHAnsi"/>
          <w:sz w:val="24"/>
          <w:szCs w:val="24"/>
        </w:rPr>
      </w:pPr>
      <w:r w:rsidRPr="006C4D42">
        <w:rPr>
          <w:rFonts w:cstheme="minorHAnsi"/>
          <w:sz w:val="24"/>
          <w:szCs w:val="24"/>
        </w:rPr>
        <w:t xml:space="preserve">Disability can be both permanent or temporary and invisible or visible. We include mental health within our definition of disability, as well as members of the d/Deaf community (who may not choose to identify as people with disability, but instead as part of a cultural and linguistic minority, with their first language being </w:t>
      </w:r>
      <w:proofErr w:type="spellStart"/>
      <w:r w:rsidRPr="006C4D42">
        <w:rPr>
          <w:rFonts w:cstheme="minorHAnsi"/>
          <w:sz w:val="24"/>
          <w:szCs w:val="24"/>
        </w:rPr>
        <w:t>Auslan</w:t>
      </w:r>
      <w:proofErr w:type="spellEnd"/>
      <w:r w:rsidRPr="006C4D42">
        <w:rPr>
          <w:rFonts w:cstheme="minorHAnsi"/>
          <w:sz w:val="24"/>
          <w:szCs w:val="24"/>
        </w:rPr>
        <w:t>). We recognise that not everyone who faces these barriers chooses to identify as a person with disability and we understand that identity and disclosure in the context of disability is complex and very personal. We also understand the principles of universal design, that one size does not fit all and the complexities of intersectionality within disability.</w:t>
      </w:r>
    </w:p>
    <w:p w:rsidR="001C7BAB" w:rsidRPr="006C4D42" w:rsidRDefault="001C7BAB" w:rsidP="001C7BAB">
      <w:pPr>
        <w:rPr>
          <w:rFonts w:cstheme="minorHAnsi"/>
          <w:b/>
          <w:bCs/>
          <w:sz w:val="24"/>
          <w:szCs w:val="24"/>
        </w:rPr>
      </w:pPr>
      <w:r w:rsidRPr="006C4D42">
        <w:rPr>
          <w:rFonts w:cstheme="minorHAnsi"/>
          <w:b/>
          <w:bCs/>
          <w:sz w:val="24"/>
          <w:szCs w:val="24"/>
        </w:rPr>
        <w:t>Key statistics</w:t>
      </w:r>
    </w:p>
    <w:p w:rsidR="001C7BAB" w:rsidRPr="006C4D42" w:rsidRDefault="001C7BAB" w:rsidP="001C7BAB">
      <w:pPr>
        <w:rPr>
          <w:rFonts w:cstheme="minorHAnsi"/>
          <w:sz w:val="24"/>
          <w:szCs w:val="24"/>
        </w:rPr>
      </w:pPr>
      <w:r w:rsidRPr="006C4D42">
        <w:rPr>
          <w:rFonts w:cstheme="minorHAnsi"/>
          <w:sz w:val="24"/>
          <w:szCs w:val="24"/>
        </w:rPr>
        <w:t>Disability is a broad diversity group and is very commonly experienced across our community – with people either directly identifying themselves, being a carer for someone else or having a family member or close friend with disability. The statistics shared below demonstrate how widespread disability is with the role of care partner likewise prevalent across every geographic, demographic and socio-economic level of the community.</w:t>
      </w:r>
    </w:p>
    <w:p w:rsidR="001C7BAB" w:rsidRPr="006C4D42" w:rsidRDefault="001C7BAB" w:rsidP="001C7BAB">
      <w:pPr>
        <w:pStyle w:val="ListParagraph"/>
        <w:numPr>
          <w:ilvl w:val="0"/>
          <w:numId w:val="1"/>
        </w:numPr>
        <w:rPr>
          <w:rFonts w:cstheme="minorHAnsi"/>
          <w:bCs/>
          <w:sz w:val="24"/>
          <w:szCs w:val="24"/>
        </w:rPr>
      </w:pPr>
      <w:r w:rsidRPr="006C4D42">
        <w:rPr>
          <w:rFonts w:cstheme="minorHAnsi"/>
          <w:bCs/>
          <w:sz w:val="24"/>
          <w:szCs w:val="24"/>
        </w:rPr>
        <w:t>1 in 5 Australians are people with disability (17.7% or 4.4 million people).</w:t>
      </w:r>
      <w:r w:rsidRPr="006C4D42">
        <w:rPr>
          <w:rFonts w:cstheme="minorHAnsi"/>
          <w:sz w:val="24"/>
          <w:szCs w:val="24"/>
        </w:rPr>
        <w:t>4</w:t>
      </w:r>
    </w:p>
    <w:p w:rsidR="001C7BAB" w:rsidRPr="006C4D42" w:rsidRDefault="001C7BAB" w:rsidP="001C7BAB">
      <w:pPr>
        <w:pStyle w:val="ListParagraph"/>
        <w:numPr>
          <w:ilvl w:val="0"/>
          <w:numId w:val="1"/>
        </w:numPr>
        <w:rPr>
          <w:rFonts w:cstheme="minorHAnsi"/>
          <w:bCs/>
          <w:sz w:val="24"/>
          <w:szCs w:val="24"/>
        </w:rPr>
      </w:pPr>
      <w:r w:rsidRPr="006C4D42">
        <w:rPr>
          <w:rFonts w:cstheme="minorHAnsi"/>
          <w:bCs/>
          <w:sz w:val="24"/>
          <w:szCs w:val="24"/>
        </w:rPr>
        <w:t>19.4% of people in the ACT identify as people with disability.</w:t>
      </w:r>
      <w:r w:rsidRPr="006C4D42">
        <w:rPr>
          <w:rFonts w:cstheme="minorHAnsi"/>
          <w:sz w:val="24"/>
          <w:szCs w:val="24"/>
        </w:rPr>
        <w:t>5</w:t>
      </w:r>
    </w:p>
    <w:p w:rsidR="001C7BAB" w:rsidRPr="006C4D42" w:rsidRDefault="001C7BAB" w:rsidP="001C7BAB">
      <w:pPr>
        <w:pStyle w:val="ListParagraph"/>
        <w:numPr>
          <w:ilvl w:val="0"/>
          <w:numId w:val="1"/>
        </w:numPr>
        <w:rPr>
          <w:rFonts w:cstheme="minorHAnsi"/>
          <w:bCs/>
          <w:sz w:val="24"/>
          <w:szCs w:val="24"/>
        </w:rPr>
      </w:pPr>
      <w:r w:rsidRPr="006C4D42">
        <w:rPr>
          <w:rFonts w:cstheme="minorHAnsi"/>
          <w:bCs/>
          <w:sz w:val="24"/>
          <w:szCs w:val="24"/>
        </w:rPr>
        <w:t>More than 1 million people with disability are from non-English speaking backgrounds.</w:t>
      </w:r>
      <w:r w:rsidRPr="006C4D42">
        <w:rPr>
          <w:rFonts w:cstheme="minorHAnsi"/>
          <w:sz w:val="24"/>
          <w:szCs w:val="24"/>
        </w:rPr>
        <w:t>6</w:t>
      </w:r>
    </w:p>
    <w:p w:rsidR="001C7BAB" w:rsidRPr="006C4D42" w:rsidRDefault="001C7BAB" w:rsidP="001C7BAB">
      <w:pPr>
        <w:pStyle w:val="ListParagraph"/>
        <w:numPr>
          <w:ilvl w:val="0"/>
          <w:numId w:val="1"/>
        </w:numPr>
        <w:rPr>
          <w:rFonts w:cstheme="minorHAnsi"/>
          <w:bCs/>
          <w:sz w:val="24"/>
          <w:szCs w:val="24"/>
        </w:rPr>
      </w:pPr>
      <w:r w:rsidRPr="006C4D42">
        <w:rPr>
          <w:rFonts w:cstheme="minorHAnsi"/>
          <w:bCs/>
          <w:sz w:val="24"/>
          <w:szCs w:val="24"/>
        </w:rPr>
        <w:t>Just under half (45.1%) of Aboriginal and Torres Strait Islander people aged 15 years and over experience disability.</w:t>
      </w:r>
      <w:r w:rsidRPr="006C4D42">
        <w:rPr>
          <w:rFonts w:cstheme="minorHAnsi"/>
          <w:sz w:val="24"/>
          <w:szCs w:val="24"/>
        </w:rPr>
        <w:t>7</w:t>
      </w:r>
    </w:p>
    <w:p w:rsidR="001C7BAB" w:rsidRPr="006C4D42" w:rsidRDefault="001C7BAB" w:rsidP="001C7BAB">
      <w:pPr>
        <w:pStyle w:val="ListParagraph"/>
        <w:numPr>
          <w:ilvl w:val="0"/>
          <w:numId w:val="1"/>
        </w:numPr>
        <w:rPr>
          <w:rFonts w:cstheme="minorHAnsi"/>
          <w:bCs/>
          <w:sz w:val="24"/>
          <w:szCs w:val="24"/>
        </w:rPr>
      </w:pPr>
      <w:r w:rsidRPr="006C4D42">
        <w:rPr>
          <w:rFonts w:cstheme="minorHAnsi"/>
          <w:bCs/>
          <w:sz w:val="24"/>
          <w:szCs w:val="24"/>
        </w:rPr>
        <w:t>People with disability are twice as likely to be in the bottom 20% of gross household incomes.8</w:t>
      </w:r>
    </w:p>
    <w:p w:rsidR="001C7BAB" w:rsidRPr="006C4D42" w:rsidRDefault="001C7BAB" w:rsidP="001C7BAB">
      <w:pPr>
        <w:pStyle w:val="ListParagraph"/>
        <w:numPr>
          <w:ilvl w:val="0"/>
          <w:numId w:val="1"/>
        </w:numPr>
        <w:rPr>
          <w:rFonts w:cstheme="minorHAnsi"/>
          <w:bCs/>
          <w:sz w:val="24"/>
          <w:szCs w:val="24"/>
        </w:rPr>
      </w:pPr>
      <w:r w:rsidRPr="006C4D42">
        <w:rPr>
          <w:rFonts w:cstheme="minorHAnsi"/>
          <w:bCs/>
          <w:sz w:val="24"/>
          <w:szCs w:val="24"/>
        </w:rPr>
        <w:t>45% of those with disability in Australia are living either near or below the poverty line, more than double the OECD average of 22%.9</w:t>
      </w:r>
    </w:p>
    <w:p w:rsidR="001C7BAB" w:rsidRPr="006C4D42" w:rsidRDefault="001C7BAB" w:rsidP="001C7BAB">
      <w:pPr>
        <w:pStyle w:val="ListParagraph"/>
        <w:numPr>
          <w:ilvl w:val="0"/>
          <w:numId w:val="1"/>
        </w:numPr>
        <w:rPr>
          <w:rFonts w:cstheme="minorHAnsi"/>
          <w:bCs/>
          <w:sz w:val="24"/>
          <w:szCs w:val="24"/>
        </w:rPr>
      </w:pPr>
      <w:r w:rsidRPr="006C4D42">
        <w:rPr>
          <w:rFonts w:cstheme="minorHAnsi"/>
          <w:bCs/>
          <w:sz w:val="24"/>
          <w:szCs w:val="24"/>
        </w:rPr>
        <w:t>45% of the population will experience a mental health condition at some point in their lives.10</w:t>
      </w:r>
    </w:p>
    <w:p w:rsidR="001C7BAB" w:rsidRPr="006C4D42" w:rsidRDefault="001C7BAB" w:rsidP="001C7BAB">
      <w:pPr>
        <w:pStyle w:val="ListParagraph"/>
        <w:numPr>
          <w:ilvl w:val="0"/>
          <w:numId w:val="1"/>
        </w:numPr>
        <w:rPr>
          <w:rFonts w:cstheme="minorHAnsi"/>
          <w:bCs/>
          <w:sz w:val="24"/>
          <w:szCs w:val="24"/>
        </w:rPr>
      </w:pPr>
      <w:r w:rsidRPr="006C4D42">
        <w:rPr>
          <w:rFonts w:cstheme="minorHAnsi"/>
          <w:bCs/>
          <w:sz w:val="24"/>
          <w:szCs w:val="24"/>
        </w:rPr>
        <w:t>15% of Australians (3.4 million) have a physical condition.11</w:t>
      </w:r>
    </w:p>
    <w:p w:rsidR="001C7BAB" w:rsidRPr="006C4D42" w:rsidRDefault="001C7BAB" w:rsidP="001C7BAB">
      <w:pPr>
        <w:pStyle w:val="ListParagraph"/>
        <w:numPr>
          <w:ilvl w:val="0"/>
          <w:numId w:val="1"/>
        </w:numPr>
        <w:rPr>
          <w:rFonts w:cstheme="minorHAnsi"/>
          <w:bCs/>
          <w:sz w:val="24"/>
          <w:szCs w:val="24"/>
        </w:rPr>
      </w:pPr>
      <w:r w:rsidRPr="006C4D42">
        <w:rPr>
          <w:rFonts w:cstheme="minorHAnsi"/>
          <w:bCs/>
          <w:sz w:val="24"/>
          <w:szCs w:val="24"/>
        </w:rPr>
        <w:t>Vision Australia estimates there are currently 357,000 people in Australia who are blind or partially sighted.</w:t>
      </w:r>
    </w:p>
    <w:p w:rsidR="001C7BAB" w:rsidRPr="006C4D42" w:rsidRDefault="001C7BAB" w:rsidP="001C7BAB">
      <w:pPr>
        <w:pStyle w:val="ListParagraph"/>
        <w:numPr>
          <w:ilvl w:val="0"/>
          <w:numId w:val="1"/>
        </w:numPr>
        <w:rPr>
          <w:rFonts w:cstheme="minorHAnsi"/>
          <w:bCs/>
          <w:sz w:val="24"/>
          <w:szCs w:val="24"/>
        </w:rPr>
      </w:pPr>
      <w:r w:rsidRPr="006C4D42">
        <w:rPr>
          <w:rFonts w:cstheme="minorHAnsi"/>
          <w:bCs/>
          <w:sz w:val="24"/>
          <w:szCs w:val="24"/>
        </w:rPr>
        <w:t>About 3.6 million Australians are impacted by some level of hearing loss.12</w:t>
      </w:r>
    </w:p>
    <w:p w:rsidR="00BF222F" w:rsidRPr="006C4D42" w:rsidRDefault="00BF222F" w:rsidP="00BF222F">
      <w:pPr>
        <w:rPr>
          <w:rFonts w:cstheme="minorHAnsi"/>
          <w:b/>
          <w:bCs/>
          <w:sz w:val="24"/>
          <w:szCs w:val="24"/>
        </w:rPr>
      </w:pPr>
      <w:r w:rsidRPr="006C4D42">
        <w:rPr>
          <w:rFonts w:cstheme="minorHAnsi"/>
          <w:b/>
          <w:bCs/>
          <w:sz w:val="24"/>
          <w:szCs w:val="24"/>
        </w:rPr>
        <w:t>Participation in cultural life</w:t>
      </w:r>
    </w:p>
    <w:p w:rsidR="00BF222F" w:rsidRPr="006C4D42" w:rsidRDefault="00BF222F" w:rsidP="00BF222F">
      <w:pPr>
        <w:rPr>
          <w:rFonts w:cstheme="minorHAnsi"/>
          <w:sz w:val="24"/>
          <w:szCs w:val="24"/>
        </w:rPr>
      </w:pPr>
      <w:r w:rsidRPr="006C4D42">
        <w:rPr>
          <w:rFonts w:cstheme="minorHAnsi"/>
          <w:sz w:val="24"/>
          <w:szCs w:val="24"/>
        </w:rPr>
        <w:t xml:space="preserve">An Australia-wide survey in 2019 found that people with disability were more likely than people without disability to recognise the positive impacts of arts and creativity across all </w:t>
      </w:r>
      <w:r w:rsidRPr="006C4D42">
        <w:rPr>
          <w:rFonts w:cstheme="minorHAnsi"/>
          <w:sz w:val="24"/>
          <w:szCs w:val="24"/>
        </w:rPr>
        <w:lastRenderedPageBreak/>
        <w:t>areas; to agree that the arts allow them to connect with others; to believe that the arts should receive public funding; and that artists make an important contribution to society.13</w:t>
      </w:r>
    </w:p>
    <w:p w:rsidR="00BF222F" w:rsidRPr="006C4D42" w:rsidRDefault="00BF222F" w:rsidP="00BF222F">
      <w:pPr>
        <w:rPr>
          <w:rFonts w:cstheme="minorHAnsi"/>
          <w:sz w:val="24"/>
          <w:szCs w:val="24"/>
        </w:rPr>
      </w:pPr>
      <w:r w:rsidRPr="006C4D42">
        <w:rPr>
          <w:rFonts w:cstheme="minorHAnsi"/>
          <w:sz w:val="24"/>
          <w:szCs w:val="24"/>
        </w:rPr>
        <w:t>People with disability were more likely than people without disability to give time or money to the arts; to be motivated to attend the arts; to improve their wellbeing and to express themselves; to creatively participate in the arts; and to engage with the arts online.14</w:t>
      </w:r>
    </w:p>
    <w:p w:rsidR="00BF222F" w:rsidRPr="006C4D42" w:rsidRDefault="00BF222F" w:rsidP="00BF222F">
      <w:pPr>
        <w:rPr>
          <w:rFonts w:cstheme="minorHAnsi"/>
          <w:sz w:val="24"/>
          <w:szCs w:val="24"/>
        </w:rPr>
      </w:pPr>
    </w:p>
    <w:p w:rsidR="00BF222F" w:rsidRPr="006C4D42" w:rsidRDefault="00BF222F" w:rsidP="00BF222F">
      <w:pPr>
        <w:rPr>
          <w:rFonts w:cstheme="minorHAnsi"/>
          <w:sz w:val="24"/>
          <w:szCs w:val="24"/>
        </w:rPr>
      </w:pPr>
      <w:r w:rsidRPr="006C4D42">
        <w:rPr>
          <w:rFonts w:cstheme="minorHAnsi"/>
          <w:sz w:val="24"/>
          <w:szCs w:val="24"/>
        </w:rPr>
        <w:t xml:space="preserve">4 </w:t>
      </w:r>
      <w:hyperlink r:id="rId8" w:history="1">
        <w:r w:rsidRPr="006C4D42">
          <w:rPr>
            <w:rStyle w:val="Hyperlink"/>
            <w:rFonts w:cstheme="minorHAnsi"/>
            <w:sz w:val="24"/>
            <w:szCs w:val="24"/>
          </w:rPr>
          <w:t>https://www.abs.gov.au/statistics/health/disability/disabilityageing-and-carers-australia-summary-findings/2018</w:t>
        </w:r>
      </w:hyperlink>
      <w:r w:rsidRPr="006C4D42">
        <w:rPr>
          <w:rFonts w:cstheme="minorHAnsi"/>
          <w:sz w:val="24"/>
          <w:szCs w:val="24"/>
        </w:rPr>
        <w:t xml:space="preserve"> </w:t>
      </w:r>
    </w:p>
    <w:p w:rsidR="00BF222F" w:rsidRPr="006C4D42" w:rsidRDefault="00BF222F" w:rsidP="00BF222F">
      <w:pPr>
        <w:rPr>
          <w:rFonts w:cstheme="minorHAnsi"/>
          <w:sz w:val="24"/>
          <w:szCs w:val="24"/>
        </w:rPr>
      </w:pPr>
      <w:r w:rsidRPr="006C4D42">
        <w:rPr>
          <w:rFonts w:cstheme="minorHAnsi"/>
          <w:sz w:val="24"/>
          <w:szCs w:val="24"/>
        </w:rPr>
        <w:t xml:space="preserve">5 </w:t>
      </w:r>
      <w:hyperlink r:id="rId9" w:history="1">
        <w:r w:rsidRPr="006C4D42">
          <w:rPr>
            <w:rStyle w:val="Hyperlink"/>
            <w:rFonts w:cstheme="minorHAnsi"/>
            <w:sz w:val="24"/>
            <w:szCs w:val="24"/>
          </w:rPr>
          <w:t>https://www.abs.gov.au/statistics/health/disability/disabilityageing-and-carers-australia-summary-findings/2018</w:t>
        </w:r>
      </w:hyperlink>
      <w:r w:rsidRPr="006C4D42">
        <w:rPr>
          <w:rFonts w:cstheme="minorHAnsi"/>
          <w:sz w:val="24"/>
          <w:szCs w:val="24"/>
        </w:rPr>
        <w:t xml:space="preserve"> </w:t>
      </w:r>
    </w:p>
    <w:p w:rsidR="00BF222F" w:rsidRPr="006C4D42" w:rsidRDefault="00BF222F" w:rsidP="00BF222F">
      <w:pPr>
        <w:rPr>
          <w:rFonts w:cstheme="minorHAnsi"/>
          <w:sz w:val="24"/>
          <w:szCs w:val="24"/>
        </w:rPr>
      </w:pPr>
      <w:r w:rsidRPr="006C4D42">
        <w:rPr>
          <w:rFonts w:cstheme="minorHAnsi"/>
          <w:sz w:val="24"/>
          <w:szCs w:val="24"/>
        </w:rPr>
        <w:t>6 National Ethnic Disability Alliance (NEDA) People from NESB with disability in Australia: What does the data say? March 2010</w:t>
      </w:r>
    </w:p>
    <w:p w:rsidR="00BF222F" w:rsidRPr="006C4D42" w:rsidRDefault="00BF222F" w:rsidP="00BF222F">
      <w:pPr>
        <w:rPr>
          <w:rFonts w:cstheme="minorHAnsi"/>
          <w:sz w:val="24"/>
          <w:szCs w:val="24"/>
        </w:rPr>
      </w:pPr>
      <w:r w:rsidRPr="006C4D42">
        <w:rPr>
          <w:rFonts w:cstheme="minorHAnsi"/>
          <w:sz w:val="24"/>
          <w:szCs w:val="24"/>
        </w:rPr>
        <w:t>7 ABS 4714.0 – National Aboriginal and Torres Strait Islander Social Survey, 2014–15</w:t>
      </w:r>
    </w:p>
    <w:p w:rsidR="00BF222F" w:rsidRPr="006C4D42" w:rsidRDefault="00BF222F" w:rsidP="00BF222F">
      <w:pPr>
        <w:rPr>
          <w:rFonts w:cstheme="minorHAnsi"/>
          <w:sz w:val="24"/>
          <w:szCs w:val="24"/>
        </w:rPr>
      </w:pPr>
      <w:r w:rsidRPr="006C4D42">
        <w:rPr>
          <w:rFonts w:cstheme="minorHAnsi"/>
          <w:sz w:val="24"/>
          <w:szCs w:val="24"/>
        </w:rPr>
        <w:t>8 ABS 4430.0</w:t>
      </w:r>
    </w:p>
    <w:p w:rsidR="00BF222F" w:rsidRPr="006C4D42" w:rsidRDefault="00BF222F" w:rsidP="00BF222F">
      <w:pPr>
        <w:rPr>
          <w:rFonts w:cstheme="minorHAnsi"/>
          <w:sz w:val="24"/>
          <w:szCs w:val="24"/>
        </w:rPr>
      </w:pPr>
      <w:r w:rsidRPr="006C4D42">
        <w:rPr>
          <w:rFonts w:cstheme="minorHAnsi"/>
          <w:sz w:val="24"/>
          <w:szCs w:val="24"/>
        </w:rPr>
        <w:t>9 Price Waterhouse Coopers, 2011. ‘Disability expectations – Investing in a better life, a stronger Australia.’</w:t>
      </w:r>
    </w:p>
    <w:p w:rsidR="00BF222F" w:rsidRPr="006C4D42" w:rsidRDefault="00BF222F" w:rsidP="00BF222F">
      <w:pPr>
        <w:rPr>
          <w:rFonts w:cstheme="minorHAnsi"/>
          <w:sz w:val="24"/>
          <w:szCs w:val="24"/>
        </w:rPr>
      </w:pPr>
      <w:r w:rsidRPr="006C4D42">
        <w:rPr>
          <w:rFonts w:cstheme="minorHAnsi"/>
          <w:sz w:val="24"/>
          <w:szCs w:val="24"/>
        </w:rPr>
        <w:t>10 ABS 4326.0 – National Survey of Mental Health and Wellbeing: Summary of Results, 2007</w:t>
      </w:r>
    </w:p>
    <w:p w:rsidR="00BF222F" w:rsidRPr="006C4D42" w:rsidRDefault="00BF222F" w:rsidP="00BF222F">
      <w:pPr>
        <w:rPr>
          <w:rFonts w:cstheme="minorHAnsi"/>
          <w:sz w:val="24"/>
          <w:szCs w:val="24"/>
        </w:rPr>
      </w:pPr>
      <w:r w:rsidRPr="006C4D42">
        <w:rPr>
          <w:rFonts w:cstheme="minorHAnsi"/>
          <w:sz w:val="24"/>
          <w:szCs w:val="24"/>
        </w:rPr>
        <w:t xml:space="preserve">11 Australian Network on Disability </w:t>
      </w:r>
      <w:hyperlink r:id="rId10" w:history="1">
        <w:r w:rsidRPr="006C4D42">
          <w:rPr>
            <w:rStyle w:val="Hyperlink"/>
            <w:rFonts w:cstheme="minorHAnsi"/>
            <w:sz w:val="24"/>
            <w:szCs w:val="24"/>
          </w:rPr>
          <w:t>http://www.and.org.au/pages/disability-statistics.html</w:t>
        </w:r>
      </w:hyperlink>
      <w:r w:rsidRPr="006C4D42">
        <w:rPr>
          <w:rFonts w:cstheme="minorHAnsi"/>
          <w:sz w:val="24"/>
          <w:szCs w:val="24"/>
        </w:rPr>
        <w:t xml:space="preserve"> </w:t>
      </w:r>
    </w:p>
    <w:p w:rsidR="00BF222F" w:rsidRPr="006C4D42" w:rsidRDefault="00BF222F" w:rsidP="00BF222F">
      <w:pPr>
        <w:rPr>
          <w:rFonts w:cstheme="minorHAnsi"/>
          <w:sz w:val="24"/>
          <w:szCs w:val="24"/>
        </w:rPr>
      </w:pPr>
      <w:r w:rsidRPr="006C4D42">
        <w:rPr>
          <w:rFonts w:cstheme="minorHAnsi"/>
          <w:sz w:val="24"/>
          <w:szCs w:val="24"/>
        </w:rPr>
        <w:t xml:space="preserve">12 </w:t>
      </w:r>
      <w:hyperlink r:id="rId11" w:history="1">
        <w:r w:rsidRPr="006C4D42">
          <w:rPr>
            <w:rStyle w:val="Hyperlink"/>
            <w:rFonts w:cstheme="minorHAnsi"/>
            <w:sz w:val="24"/>
            <w:szCs w:val="24"/>
          </w:rPr>
          <w:t>http://www.health.gov.au/topics/ear-health/about</w:t>
        </w:r>
      </w:hyperlink>
      <w:r w:rsidRPr="006C4D42">
        <w:rPr>
          <w:rFonts w:cstheme="minorHAnsi"/>
          <w:sz w:val="24"/>
          <w:szCs w:val="24"/>
        </w:rPr>
        <w:t xml:space="preserve"> </w:t>
      </w:r>
    </w:p>
    <w:p w:rsidR="00BF222F" w:rsidRPr="006C4D42" w:rsidRDefault="00BF222F" w:rsidP="00BF222F">
      <w:pPr>
        <w:rPr>
          <w:rFonts w:cstheme="minorHAnsi"/>
          <w:sz w:val="24"/>
          <w:szCs w:val="24"/>
        </w:rPr>
      </w:pPr>
      <w:r w:rsidRPr="006C4D42">
        <w:rPr>
          <w:rFonts w:cstheme="minorHAnsi"/>
          <w:sz w:val="24"/>
          <w:szCs w:val="24"/>
        </w:rPr>
        <w:t>13 Creating our future: Results of the National Arts Participation Survey (2020). The Australia Council for the Arts.</w:t>
      </w:r>
    </w:p>
    <w:p w:rsidR="00BF222F" w:rsidRPr="006C4D42" w:rsidRDefault="00BF222F" w:rsidP="00BF222F">
      <w:pPr>
        <w:rPr>
          <w:rFonts w:cstheme="minorHAnsi"/>
          <w:sz w:val="24"/>
          <w:szCs w:val="24"/>
        </w:rPr>
      </w:pPr>
      <w:r w:rsidRPr="006C4D42">
        <w:rPr>
          <w:rFonts w:cstheme="minorHAnsi"/>
          <w:sz w:val="24"/>
          <w:szCs w:val="24"/>
        </w:rPr>
        <w:t>14 As above.</w:t>
      </w:r>
    </w:p>
    <w:p w:rsidR="00BF222F" w:rsidRPr="006C4D42" w:rsidRDefault="00BF222F" w:rsidP="00BF222F">
      <w:pPr>
        <w:rPr>
          <w:rFonts w:cstheme="minorHAnsi"/>
          <w:sz w:val="24"/>
          <w:szCs w:val="24"/>
        </w:rPr>
      </w:pPr>
    </w:p>
    <w:p w:rsidR="00C73F9A" w:rsidRPr="006C4D42" w:rsidRDefault="00C73F9A">
      <w:pPr>
        <w:rPr>
          <w:rFonts w:cstheme="minorHAnsi"/>
          <w:sz w:val="24"/>
          <w:szCs w:val="24"/>
        </w:rPr>
      </w:pPr>
      <w:r w:rsidRPr="006C4D42">
        <w:rPr>
          <w:rFonts w:cstheme="minorHAnsi"/>
          <w:sz w:val="24"/>
          <w:szCs w:val="24"/>
        </w:rPr>
        <w:br w:type="page"/>
      </w:r>
    </w:p>
    <w:p w:rsidR="00C73F9A" w:rsidRPr="006C4D42" w:rsidRDefault="00C73F9A" w:rsidP="00C73F9A">
      <w:pPr>
        <w:rPr>
          <w:rFonts w:cstheme="minorHAnsi"/>
          <w:b/>
          <w:sz w:val="24"/>
          <w:szCs w:val="24"/>
        </w:rPr>
      </w:pPr>
      <w:r w:rsidRPr="006C4D42">
        <w:rPr>
          <w:rFonts w:cstheme="minorHAnsi"/>
          <w:b/>
          <w:sz w:val="24"/>
          <w:szCs w:val="24"/>
        </w:rPr>
        <w:lastRenderedPageBreak/>
        <w:t>WHERE WE FIT: SOCIAL POLICY CONTEXT</w:t>
      </w:r>
    </w:p>
    <w:p w:rsidR="00C73F9A" w:rsidRPr="006C4D42" w:rsidRDefault="00C73F9A" w:rsidP="00C73F9A">
      <w:pPr>
        <w:rPr>
          <w:rFonts w:cstheme="minorHAnsi"/>
          <w:sz w:val="24"/>
          <w:szCs w:val="24"/>
        </w:rPr>
      </w:pPr>
      <w:r w:rsidRPr="006C4D42">
        <w:rPr>
          <w:rFonts w:cstheme="minorHAnsi"/>
          <w:sz w:val="24"/>
          <w:szCs w:val="24"/>
        </w:rPr>
        <w:t>There are a wide range of legislative requirements and strategies which have influenced the development of this DIAP. In recent years, there have been significant changes to law and policy in Australia aimed at ensuring the rights of people with disability are upheld and protected.</w:t>
      </w:r>
    </w:p>
    <w:p w:rsidR="00C73F9A" w:rsidRPr="006C4D42" w:rsidRDefault="00C73F9A" w:rsidP="00C73F9A">
      <w:pPr>
        <w:rPr>
          <w:rFonts w:cstheme="minorHAnsi"/>
          <w:sz w:val="24"/>
          <w:szCs w:val="24"/>
        </w:rPr>
      </w:pPr>
      <w:r w:rsidRPr="006C4D42">
        <w:rPr>
          <w:rFonts w:cstheme="minorHAnsi"/>
          <w:sz w:val="24"/>
          <w:szCs w:val="24"/>
        </w:rPr>
        <w:t>A summary of some of the key documents is provided below.</w:t>
      </w:r>
    </w:p>
    <w:p w:rsidR="00C73F9A" w:rsidRPr="006C4D42" w:rsidRDefault="00C73F9A" w:rsidP="00C73F9A">
      <w:pPr>
        <w:rPr>
          <w:rFonts w:cstheme="minorHAnsi"/>
          <w:b/>
          <w:bCs/>
          <w:sz w:val="24"/>
          <w:szCs w:val="24"/>
        </w:rPr>
      </w:pPr>
      <w:r w:rsidRPr="006C4D42">
        <w:rPr>
          <w:rFonts w:cstheme="minorHAnsi"/>
          <w:b/>
          <w:bCs/>
          <w:sz w:val="24"/>
          <w:szCs w:val="24"/>
        </w:rPr>
        <w:t>International</w:t>
      </w:r>
    </w:p>
    <w:p w:rsidR="00C73F9A" w:rsidRPr="006C4D42" w:rsidRDefault="00C73F9A" w:rsidP="00C73F9A">
      <w:pPr>
        <w:rPr>
          <w:rFonts w:cstheme="minorHAnsi"/>
          <w:sz w:val="24"/>
          <w:szCs w:val="24"/>
        </w:rPr>
      </w:pPr>
      <w:r w:rsidRPr="006C4D42">
        <w:rPr>
          <w:rFonts w:cstheme="minorHAnsi"/>
          <w:sz w:val="24"/>
          <w:szCs w:val="24"/>
        </w:rPr>
        <w:t>Internationally, Australia is a signatory to the UN Convention on</w:t>
      </w:r>
      <w:r w:rsidR="00742065" w:rsidRPr="006C4D42">
        <w:rPr>
          <w:rFonts w:cstheme="minorHAnsi"/>
          <w:sz w:val="24"/>
          <w:szCs w:val="24"/>
        </w:rPr>
        <w:t xml:space="preserve"> </w:t>
      </w:r>
      <w:r w:rsidRPr="006C4D42">
        <w:rPr>
          <w:rFonts w:cstheme="minorHAnsi"/>
          <w:sz w:val="24"/>
          <w:szCs w:val="24"/>
        </w:rPr>
        <w:t>the Rights of Persons with Disabilities (2008). This Convention</w:t>
      </w:r>
      <w:r w:rsidR="00742065" w:rsidRPr="006C4D42">
        <w:rPr>
          <w:rFonts w:cstheme="minorHAnsi"/>
          <w:sz w:val="24"/>
          <w:szCs w:val="24"/>
        </w:rPr>
        <w:t xml:space="preserve"> </w:t>
      </w:r>
      <w:r w:rsidRPr="006C4D42">
        <w:rPr>
          <w:rFonts w:cstheme="minorHAnsi"/>
          <w:sz w:val="24"/>
          <w:szCs w:val="24"/>
        </w:rPr>
        <w:t>recognises that disability is ‘an evolving concept and that</w:t>
      </w:r>
      <w:r w:rsidR="00742065" w:rsidRPr="006C4D42">
        <w:rPr>
          <w:rFonts w:cstheme="minorHAnsi"/>
          <w:sz w:val="24"/>
          <w:szCs w:val="24"/>
        </w:rPr>
        <w:t xml:space="preserve"> </w:t>
      </w:r>
      <w:r w:rsidRPr="006C4D42">
        <w:rPr>
          <w:rFonts w:cstheme="minorHAnsi"/>
          <w:sz w:val="24"/>
          <w:szCs w:val="24"/>
        </w:rPr>
        <w:t>disability results from the interaction between persons with</w:t>
      </w:r>
      <w:r w:rsidR="00742065" w:rsidRPr="006C4D42">
        <w:rPr>
          <w:rFonts w:cstheme="minorHAnsi"/>
          <w:sz w:val="24"/>
          <w:szCs w:val="24"/>
        </w:rPr>
        <w:t xml:space="preserve"> </w:t>
      </w:r>
      <w:r w:rsidRPr="006C4D42">
        <w:rPr>
          <w:rFonts w:cstheme="minorHAnsi"/>
          <w:sz w:val="24"/>
          <w:szCs w:val="24"/>
        </w:rPr>
        <w:t>impairments and attitudinal and environmental barriers that</w:t>
      </w:r>
      <w:r w:rsidR="00742065" w:rsidRPr="006C4D42">
        <w:rPr>
          <w:rFonts w:cstheme="minorHAnsi"/>
          <w:sz w:val="24"/>
          <w:szCs w:val="24"/>
        </w:rPr>
        <w:t xml:space="preserve"> </w:t>
      </w:r>
      <w:r w:rsidRPr="006C4D42">
        <w:rPr>
          <w:rFonts w:cstheme="minorHAnsi"/>
          <w:sz w:val="24"/>
          <w:szCs w:val="24"/>
        </w:rPr>
        <w:t>hinders their full effective participation in society on an equal</w:t>
      </w:r>
      <w:r w:rsidR="00742065" w:rsidRPr="006C4D42">
        <w:rPr>
          <w:rFonts w:cstheme="minorHAnsi"/>
          <w:sz w:val="24"/>
          <w:szCs w:val="24"/>
        </w:rPr>
        <w:t xml:space="preserve"> </w:t>
      </w:r>
      <w:r w:rsidRPr="006C4D42">
        <w:rPr>
          <w:rFonts w:cstheme="minorHAnsi"/>
          <w:sz w:val="24"/>
          <w:szCs w:val="24"/>
        </w:rPr>
        <w:t>basis with others’. 15</w:t>
      </w:r>
    </w:p>
    <w:p w:rsidR="00C73F9A" w:rsidRPr="006C4D42" w:rsidRDefault="00C73F9A" w:rsidP="00C73F9A">
      <w:pPr>
        <w:rPr>
          <w:rFonts w:cstheme="minorHAnsi"/>
          <w:b/>
          <w:bCs/>
          <w:sz w:val="24"/>
          <w:szCs w:val="24"/>
        </w:rPr>
      </w:pPr>
      <w:r w:rsidRPr="006C4D42">
        <w:rPr>
          <w:rFonts w:cstheme="minorHAnsi"/>
          <w:b/>
          <w:bCs/>
          <w:sz w:val="24"/>
          <w:szCs w:val="24"/>
        </w:rPr>
        <w:t>National</w:t>
      </w:r>
    </w:p>
    <w:p w:rsidR="00C73F9A" w:rsidRPr="006C4D42" w:rsidRDefault="00C73F9A" w:rsidP="00C73F9A">
      <w:pPr>
        <w:rPr>
          <w:rFonts w:cstheme="minorHAnsi"/>
          <w:sz w:val="24"/>
          <w:szCs w:val="24"/>
        </w:rPr>
      </w:pPr>
      <w:r w:rsidRPr="006C4D42">
        <w:rPr>
          <w:rFonts w:cstheme="minorHAnsi"/>
          <w:sz w:val="24"/>
          <w:szCs w:val="24"/>
        </w:rPr>
        <w:t>At a federal level, Australia has had a Disability Discrimination</w:t>
      </w:r>
      <w:r w:rsidR="00742065" w:rsidRPr="006C4D42">
        <w:rPr>
          <w:rFonts w:cstheme="minorHAnsi"/>
          <w:sz w:val="24"/>
          <w:szCs w:val="24"/>
        </w:rPr>
        <w:t xml:space="preserve"> </w:t>
      </w:r>
      <w:r w:rsidRPr="006C4D42">
        <w:rPr>
          <w:rFonts w:cstheme="minorHAnsi"/>
          <w:sz w:val="24"/>
          <w:szCs w:val="24"/>
        </w:rPr>
        <w:t>Act for 30 years (released in 1992). Various Australian</w:t>
      </w:r>
      <w:r w:rsidR="00742065" w:rsidRPr="006C4D42">
        <w:rPr>
          <w:rFonts w:cstheme="minorHAnsi"/>
          <w:sz w:val="24"/>
          <w:szCs w:val="24"/>
        </w:rPr>
        <w:t xml:space="preserve"> </w:t>
      </w:r>
      <w:r w:rsidRPr="006C4D42">
        <w:rPr>
          <w:rFonts w:cstheme="minorHAnsi"/>
          <w:sz w:val="24"/>
          <w:szCs w:val="24"/>
        </w:rPr>
        <w:t>Standards and Frameworks support this Act, including the</w:t>
      </w:r>
      <w:r w:rsidR="00742065" w:rsidRPr="006C4D42">
        <w:rPr>
          <w:rFonts w:cstheme="minorHAnsi"/>
          <w:sz w:val="24"/>
          <w:szCs w:val="24"/>
        </w:rPr>
        <w:t xml:space="preserve"> </w:t>
      </w:r>
      <w:r w:rsidRPr="006C4D42">
        <w:rPr>
          <w:rFonts w:cstheme="minorHAnsi"/>
          <w:sz w:val="24"/>
          <w:szCs w:val="24"/>
        </w:rPr>
        <w:t>Disability (Access to Premises – Buildings) Standards (2010),</w:t>
      </w:r>
      <w:r w:rsidR="00742065" w:rsidRPr="006C4D42">
        <w:rPr>
          <w:rFonts w:cstheme="minorHAnsi"/>
          <w:sz w:val="24"/>
          <w:szCs w:val="24"/>
        </w:rPr>
        <w:t xml:space="preserve"> </w:t>
      </w:r>
      <w:r w:rsidRPr="006C4D42">
        <w:rPr>
          <w:rFonts w:cstheme="minorHAnsi"/>
          <w:sz w:val="24"/>
          <w:szCs w:val="24"/>
        </w:rPr>
        <w:t>National Construction Code of Australia (2022), Disability</w:t>
      </w:r>
      <w:r w:rsidR="00742065" w:rsidRPr="006C4D42">
        <w:rPr>
          <w:rFonts w:cstheme="minorHAnsi"/>
          <w:sz w:val="24"/>
          <w:szCs w:val="24"/>
        </w:rPr>
        <w:t xml:space="preserve"> </w:t>
      </w:r>
      <w:r w:rsidRPr="006C4D42">
        <w:rPr>
          <w:rFonts w:cstheme="minorHAnsi"/>
          <w:sz w:val="24"/>
          <w:szCs w:val="24"/>
        </w:rPr>
        <w:t>Standards for Accessible Public Transport (2002) and Disability</w:t>
      </w:r>
      <w:r w:rsidR="00742065" w:rsidRPr="006C4D42">
        <w:rPr>
          <w:rFonts w:cstheme="minorHAnsi"/>
          <w:sz w:val="24"/>
          <w:szCs w:val="24"/>
        </w:rPr>
        <w:t xml:space="preserve"> </w:t>
      </w:r>
      <w:r w:rsidRPr="006C4D42">
        <w:rPr>
          <w:rFonts w:cstheme="minorHAnsi"/>
          <w:sz w:val="24"/>
          <w:szCs w:val="24"/>
        </w:rPr>
        <w:t>Standards for Education (2005).</w:t>
      </w:r>
    </w:p>
    <w:p w:rsidR="00C73F9A" w:rsidRPr="006C4D42" w:rsidRDefault="00C73F9A" w:rsidP="00C73F9A">
      <w:pPr>
        <w:rPr>
          <w:rFonts w:cstheme="minorHAnsi"/>
          <w:sz w:val="24"/>
          <w:szCs w:val="24"/>
        </w:rPr>
      </w:pPr>
      <w:r w:rsidRPr="006C4D42">
        <w:rPr>
          <w:rFonts w:cstheme="minorHAnsi"/>
          <w:sz w:val="24"/>
          <w:szCs w:val="24"/>
        </w:rPr>
        <w:t>Since 2014, Australia has implemented the National Disability</w:t>
      </w:r>
      <w:r w:rsidR="00742065" w:rsidRPr="006C4D42">
        <w:rPr>
          <w:rFonts w:cstheme="minorHAnsi"/>
          <w:sz w:val="24"/>
          <w:szCs w:val="24"/>
        </w:rPr>
        <w:t xml:space="preserve"> </w:t>
      </w:r>
      <w:r w:rsidRPr="006C4D42">
        <w:rPr>
          <w:rFonts w:cstheme="minorHAnsi"/>
          <w:sz w:val="24"/>
          <w:szCs w:val="24"/>
        </w:rPr>
        <w:t>Insurance Scheme (NDIS) to provide support for Australians</w:t>
      </w:r>
      <w:r w:rsidR="00742065" w:rsidRPr="006C4D42">
        <w:rPr>
          <w:rFonts w:cstheme="minorHAnsi"/>
          <w:sz w:val="24"/>
          <w:szCs w:val="24"/>
        </w:rPr>
        <w:t xml:space="preserve"> </w:t>
      </w:r>
      <w:r w:rsidRPr="006C4D42">
        <w:rPr>
          <w:rFonts w:cstheme="minorHAnsi"/>
          <w:sz w:val="24"/>
          <w:szCs w:val="24"/>
        </w:rPr>
        <w:t>with permanent and significant disability with the reasonable</w:t>
      </w:r>
      <w:r w:rsidR="00742065" w:rsidRPr="006C4D42">
        <w:rPr>
          <w:rFonts w:cstheme="minorHAnsi"/>
          <w:sz w:val="24"/>
          <w:szCs w:val="24"/>
        </w:rPr>
        <w:t xml:space="preserve"> </w:t>
      </w:r>
      <w:r w:rsidRPr="006C4D42">
        <w:rPr>
          <w:rFonts w:cstheme="minorHAnsi"/>
          <w:sz w:val="24"/>
          <w:szCs w:val="24"/>
        </w:rPr>
        <w:t>and necessary supports they need to live an ordinary life.</w:t>
      </w:r>
      <w:r w:rsidR="00742065" w:rsidRPr="006C4D42">
        <w:rPr>
          <w:rFonts w:cstheme="minorHAnsi"/>
          <w:sz w:val="24"/>
          <w:szCs w:val="24"/>
        </w:rPr>
        <w:t xml:space="preserve"> </w:t>
      </w:r>
      <w:r w:rsidRPr="006C4D42">
        <w:rPr>
          <w:rFonts w:cstheme="minorHAnsi"/>
          <w:sz w:val="24"/>
          <w:szCs w:val="24"/>
        </w:rPr>
        <w:t>Residents of Georges River Council have had access to the</w:t>
      </w:r>
      <w:r w:rsidR="00742065" w:rsidRPr="006C4D42">
        <w:rPr>
          <w:rFonts w:cstheme="minorHAnsi"/>
          <w:sz w:val="24"/>
          <w:szCs w:val="24"/>
        </w:rPr>
        <w:t xml:space="preserve"> </w:t>
      </w:r>
      <w:r w:rsidRPr="006C4D42">
        <w:rPr>
          <w:rFonts w:cstheme="minorHAnsi"/>
          <w:sz w:val="24"/>
          <w:szCs w:val="24"/>
        </w:rPr>
        <w:t>NDIS from 1 July 2017.</w:t>
      </w:r>
    </w:p>
    <w:p w:rsidR="00C73F9A" w:rsidRPr="006C4D42" w:rsidRDefault="00C73F9A" w:rsidP="00C73F9A">
      <w:pPr>
        <w:rPr>
          <w:rFonts w:cstheme="minorHAnsi"/>
          <w:sz w:val="24"/>
          <w:szCs w:val="24"/>
        </w:rPr>
      </w:pPr>
      <w:r w:rsidRPr="006C4D42">
        <w:rPr>
          <w:rFonts w:cstheme="minorHAnsi"/>
          <w:sz w:val="24"/>
          <w:szCs w:val="24"/>
        </w:rPr>
        <w:t>In 2019, Australia launched a three-year Royal Commission</w:t>
      </w:r>
      <w:r w:rsidR="00742065" w:rsidRPr="006C4D42">
        <w:rPr>
          <w:rFonts w:cstheme="minorHAnsi"/>
          <w:sz w:val="24"/>
          <w:szCs w:val="24"/>
        </w:rPr>
        <w:t xml:space="preserve"> </w:t>
      </w:r>
      <w:r w:rsidRPr="006C4D42">
        <w:rPr>
          <w:rFonts w:cstheme="minorHAnsi"/>
          <w:sz w:val="24"/>
          <w:szCs w:val="24"/>
        </w:rPr>
        <w:t>into Violence, Abuse, Neglect and Exploitation of People</w:t>
      </w:r>
      <w:r w:rsidR="00742065" w:rsidRPr="006C4D42">
        <w:rPr>
          <w:rFonts w:cstheme="minorHAnsi"/>
          <w:sz w:val="24"/>
          <w:szCs w:val="24"/>
        </w:rPr>
        <w:t xml:space="preserve"> </w:t>
      </w:r>
      <w:r w:rsidRPr="006C4D42">
        <w:rPr>
          <w:rFonts w:cstheme="minorHAnsi"/>
          <w:sz w:val="24"/>
          <w:szCs w:val="24"/>
        </w:rPr>
        <w:t>with Disability. This inquiry will provide recommendations to</w:t>
      </w:r>
      <w:r w:rsidR="00742065" w:rsidRPr="006C4D42">
        <w:rPr>
          <w:rFonts w:cstheme="minorHAnsi"/>
          <w:sz w:val="24"/>
          <w:szCs w:val="24"/>
        </w:rPr>
        <w:t xml:space="preserve"> </w:t>
      </w:r>
      <w:r w:rsidRPr="006C4D42">
        <w:rPr>
          <w:rFonts w:cstheme="minorHAnsi"/>
          <w:sz w:val="24"/>
          <w:szCs w:val="24"/>
        </w:rPr>
        <w:t>government on how to prevent and better protect people with</w:t>
      </w:r>
      <w:r w:rsidR="00742065" w:rsidRPr="006C4D42">
        <w:rPr>
          <w:rFonts w:cstheme="minorHAnsi"/>
          <w:sz w:val="24"/>
          <w:szCs w:val="24"/>
        </w:rPr>
        <w:t xml:space="preserve"> </w:t>
      </w:r>
      <w:r w:rsidRPr="006C4D42">
        <w:rPr>
          <w:rFonts w:cstheme="minorHAnsi"/>
          <w:sz w:val="24"/>
          <w:szCs w:val="24"/>
        </w:rPr>
        <w:t>disability from all forms of violence and abuse, neglect and</w:t>
      </w:r>
      <w:r w:rsidR="00742065" w:rsidRPr="006C4D42">
        <w:rPr>
          <w:rFonts w:cstheme="minorHAnsi"/>
          <w:sz w:val="24"/>
          <w:szCs w:val="24"/>
        </w:rPr>
        <w:t xml:space="preserve"> </w:t>
      </w:r>
      <w:r w:rsidRPr="006C4D42">
        <w:rPr>
          <w:rFonts w:cstheme="minorHAnsi"/>
          <w:sz w:val="24"/>
          <w:szCs w:val="24"/>
        </w:rPr>
        <w:t>exploitation; achieve best practice reporting and investigation</w:t>
      </w:r>
      <w:r w:rsidR="00742065" w:rsidRPr="006C4D42">
        <w:rPr>
          <w:rFonts w:cstheme="minorHAnsi"/>
          <w:sz w:val="24"/>
          <w:szCs w:val="24"/>
        </w:rPr>
        <w:t xml:space="preserve"> </w:t>
      </w:r>
      <w:r w:rsidRPr="006C4D42">
        <w:rPr>
          <w:rFonts w:cstheme="minorHAnsi"/>
          <w:sz w:val="24"/>
          <w:szCs w:val="24"/>
        </w:rPr>
        <w:t>processes; and promote a more inclusive society that supports</w:t>
      </w:r>
      <w:r w:rsidR="00742065" w:rsidRPr="006C4D42">
        <w:rPr>
          <w:rFonts w:cstheme="minorHAnsi"/>
          <w:sz w:val="24"/>
          <w:szCs w:val="24"/>
        </w:rPr>
        <w:t xml:space="preserve"> </w:t>
      </w:r>
      <w:r w:rsidRPr="006C4D42">
        <w:rPr>
          <w:rFonts w:cstheme="minorHAnsi"/>
          <w:sz w:val="24"/>
          <w:szCs w:val="24"/>
        </w:rPr>
        <w:t>the independence of people with disability and their right to</w:t>
      </w:r>
      <w:r w:rsidR="00742065" w:rsidRPr="006C4D42">
        <w:rPr>
          <w:rFonts w:cstheme="minorHAnsi"/>
          <w:sz w:val="24"/>
          <w:szCs w:val="24"/>
        </w:rPr>
        <w:t xml:space="preserve"> </w:t>
      </w:r>
      <w:r w:rsidRPr="006C4D42">
        <w:rPr>
          <w:rFonts w:cstheme="minorHAnsi"/>
          <w:sz w:val="24"/>
          <w:szCs w:val="24"/>
        </w:rPr>
        <w:t>live free from violence, abuse, neglect and exploitation.</w:t>
      </w:r>
    </w:p>
    <w:p w:rsidR="00BF222F" w:rsidRPr="006C4D42" w:rsidRDefault="00C73F9A" w:rsidP="00C73F9A">
      <w:pPr>
        <w:rPr>
          <w:rFonts w:cstheme="minorHAnsi"/>
          <w:sz w:val="24"/>
          <w:szCs w:val="24"/>
        </w:rPr>
      </w:pPr>
      <w:r w:rsidRPr="006C4D42">
        <w:rPr>
          <w:rFonts w:cstheme="minorHAnsi"/>
          <w:sz w:val="24"/>
          <w:szCs w:val="24"/>
        </w:rPr>
        <w:t>Australia has also recently released its new National Disability</w:t>
      </w:r>
      <w:r w:rsidR="00742065" w:rsidRPr="006C4D42">
        <w:rPr>
          <w:rFonts w:cstheme="minorHAnsi"/>
          <w:sz w:val="24"/>
          <w:szCs w:val="24"/>
        </w:rPr>
        <w:t xml:space="preserve"> </w:t>
      </w:r>
      <w:r w:rsidRPr="006C4D42">
        <w:rPr>
          <w:rFonts w:cstheme="minorHAnsi"/>
          <w:sz w:val="24"/>
          <w:szCs w:val="24"/>
        </w:rPr>
        <w:t>Strategy (NDS) 2021–31. The vision sets out practical changes</w:t>
      </w:r>
      <w:r w:rsidR="00742065" w:rsidRPr="006C4D42">
        <w:rPr>
          <w:rFonts w:cstheme="minorHAnsi"/>
          <w:sz w:val="24"/>
          <w:szCs w:val="24"/>
        </w:rPr>
        <w:t xml:space="preserve"> </w:t>
      </w:r>
      <w:r w:rsidRPr="006C4D42">
        <w:rPr>
          <w:rFonts w:cstheme="minorHAnsi"/>
          <w:sz w:val="24"/>
          <w:szCs w:val="24"/>
        </w:rPr>
        <w:t>required to fulfil its vision for an inclusive Australian society</w:t>
      </w:r>
      <w:r w:rsidR="00742065" w:rsidRPr="006C4D42">
        <w:rPr>
          <w:rFonts w:cstheme="minorHAnsi"/>
          <w:sz w:val="24"/>
          <w:szCs w:val="24"/>
        </w:rPr>
        <w:t xml:space="preserve"> </w:t>
      </w:r>
      <w:r w:rsidRPr="006C4D42">
        <w:rPr>
          <w:rFonts w:cstheme="minorHAnsi"/>
          <w:sz w:val="24"/>
          <w:szCs w:val="24"/>
        </w:rPr>
        <w:t>that ensures people with disability can fulfil their potential, as</w:t>
      </w:r>
      <w:r w:rsidR="00742065" w:rsidRPr="006C4D42">
        <w:rPr>
          <w:rFonts w:cstheme="minorHAnsi"/>
          <w:sz w:val="24"/>
          <w:szCs w:val="24"/>
        </w:rPr>
        <w:t xml:space="preserve"> </w:t>
      </w:r>
      <w:r w:rsidRPr="006C4D42">
        <w:rPr>
          <w:rFonts w:cstheme="minorHAnsi"/>
          <w:sz w:val="24"/>
          <w:szCs w:val="24"/>
        </w:rPr>
        <w:t>equal members of the community. It helps protect, promote</w:t>
      </w:r>
      <w:r w:rsidR="00742065" w:rsidRPr="006C4D42">
        <w:rPr>
          <w:rFonts w:cstheme="minorHAnsi"/>
          <w:sz w:val="24"/>
          <w:szCs w:val="24"/>
        </w:rPr>
        <w:t xml:space="preserve"> </w:t>
      </w:r>
      <w:r w:rsidRPr="006C4D42">
        <w:rPr>
          <w:rFonts w:cstheme="minorHAnsi"/>
          <w:sz w:val="24"/>
          <w:szCs w:val="24"/>
        </w:rPr>
        <w:t>and realise the human rights of people with disability through</w:t>
      </w:r>
      <w:r w:rsidR="00742065" w:rsidRPr="006C4D42">
        <w:rPr>
          <w:rFonts w:cstheme="minorHAnsi"/>
          <w:sz w:val="24"/>
          <w:szCs w:val="24"/>
        </w:rPr>
        <w:t xml:space="preserve"> </w:t>
      </w:r>
      <w:r w:rsidRPr="006C4D42">
        <w:rPr>
          <w:rFonts w:cstheme="minorHAnsi"/>
          <w:sz w:val="24"/>
          <w:szCs w:val="24"/>
        </w:rPr>
        <w:t>national leadership, guiding public policy activities, influencing</w:t>
      </w:r>
      <w:r w:rsidR="00742065" w:rsidRPr="006C4D42">
        <w:rPr>
          <w:rFonts w:cstheme="minorHAnsi"/>
          <w:sz w:val="24"/>
          <w:szCs w:val="24"/>
        </w:rPr>
        <w:t xml:space="preserve"> </w:t>
      </w:r>
      <w:r w:rsidRPr="006C4D42">
        <w:rPr>
          <w:rFonts w:cstheme="minorHAnsi"/>
          <w:sz w:val="24"/>
          <w:szCs w:val="24"/>
        </w:rPr>
        <w:t>mainstream services and systems, and engages the whole</w:t>
      </w:r>
      <w:r w:rsidR="00742065" w:rsidRPr="006C4D42">
        <w:rPr>
          <w:rFonts w:cstheme="minorHAnsi"/>
          <w:sz w:val="24"/>
          <w:szCs w:val="24"/>
        </w:rPr>
        <w:t xml:space="preserve"> </w:t>
      </w:r>
      <w:r w:rsidRPr="006C4D42">
        <w:rPr>
          <w:rFonts w:cstheme="minorHAnsi"/>
          <w:sz w:val="24"/>
          <w:szCs w:val="24"/>
        </w:rPr>
        <w:t>community in achieving a more inclusive society.</w:t>
      </w:r>
    </w:p>
    <w:p w:rsidR="00B47E53" w:rsidRPr="006C4D42" w:rsidRDefault="00B47E53" w:rsidP="00B47E53">
      <w:pPr>
        <w:rPr>
          <w:rFonts w:cstheme="minorHAnsi"/>
          <w:sz w:val="24"/>
          <w:szCs w:val="24"/>
        </w:rPr>
      </w:pPr>
      <w:r w:rsidRPr="006C4D42">
        <w:rPr>
          <w:rFonts w:cstheme="minorHAnsi"/>
          <w:sz w:val="24"/>
          <w:szCs w:val="24"/>
        </w:rPr>
        <w:t>Our DIAP also aligns with other international, national and Australian Capital Territory social policy and frameworks including:</w:t>
      </w:r>
    </w:p>
    <w:p w:rsidR="00B47E53" w:rsidRPr="006C4D42" w:rsidRDefault="00B47E53" w:rsidP="00B47E53">
      <w:pPr>
        <w:pStyle w:val="ListParagraph"/>
        <w:numPr>
          <w:ilvl w:val="0"/>
          <w:numId w:val="4"/>
        </w:numPr>
        <w:rPr>
          <w:rFonts w:cstheme="minorHAnsi"/>
          <w:sz w:val="24"/>
          <w:szCs w:val="24"/>
        </w:rPr>
      </w:pPr>
      <w:r w:rsidRPr="006C4D42">
        <w:rPr>
          <w:rFonts w:cstheme="minorHAnsi"/>
          <w:sz w:val="24"/>
          <w:szCs w:val="24"/>
        </w:rPr>
        <w:t>UN Sustainable Development Goals (2017)</w:t>
      </w:r>
    </w:p>
    <w:p w:rsidR="00B47E53" w:rsidRPr="006C4D42" w:rsidRDefault="00B47E53" w:rsidP="00B47E53">
      <w:pPr>
        <w:pStyle w:val="ListParagraph"/>
        <w:numPr>
          <w:ilvl w:val="0"/>
          <w:numId w:val="4"/>
        </w:numPr>
        <w:rPr>
          <w:rFonts w:cstheme="minorHAnsi"/>
          <w:sz w:val="24"/>
          <w:szCs w:val="24"/>
        </w:rPr>
      </w:pPr>
      <w:r w:rsidRPr="006C4D42">
        <w:rPr>
          <w:rFonts w:cstheme="minorHAnsi"/>
          <w:sz w:val="24"/>
          <w:szCs w:val="24"/>
        </w:rPr>
        <w:lastRenderedPageBreak/>
        <w:t>Disability Discrimination Act 1992 (Commonwealth)</w:t>
      </w:r>
    </w:p>
    <w:p w:rsidR="00B47E53" w:rsidRPr="006C4D42" w:rsidRDefault="00B47E53" w:rsidP="00B47E53">
      <w:pPr>
        <w:pStyle w:val="ListParagraph"/>
        <w:numPr>
          <w:ilvl w:val="0"/>
          <w:numId w:val="4"/>
        </w:numPr>
        <w:rPr>
          <w:rFonts w:cstheme="minorHAnsi"/>
          <w:sz w:val="24"/>
          <w:szCs w:val="24"/>
        </w:rPr>
      </w:pPr>
      <w:r w:rsidRPr="006C4D42">
        <w:rPr>
          <w:rFonts w:cstheme="minorHAnsi"/>
          <w:sz w:val="24"/>
          <w:szCs w:val="24"/>
        </w:rPr>
        <w:t>Disability Services Act 1986 (Commonwealth)</w:t>
      </w:r>
    </w:p>
    <w:p w:rsidR="00B47E53" w:rsidRPr="006C4D42" w:rsidRDefault="00B47E53" w:rsidP="00B47E53">
      <w:pPr>
        <w:pStyle w:val="ListParagraph"/>
        <w:numPr>
          <w:ilvl w:val="0"/>
          <w:numId w:val="4"/>
        </w:numPr>
        <w:rPr>
          <w:rFonts w:cstheme="minorHAnsi"/>
          <w:sz w:val="24"/>
          <w:szCs w:val="24"/>
        </w:rPr>
      </w:pPr>
      <w:r w:rsidRPr="006C4D42">
        <w:rPr>
          <w:rFonts w:cstheme="minorHAnsi"/>
          <w:sz w:val="24"/>
          <w:szCs w:val="24"/>
        </w:rPr>
        <w:t>Australian Public Service Disability Employment Strategy 2020–25 (Commonwealth)</w:t>
      </w:r>
    </w:p>
    <w:p w:rsidR="00B47E53" w:rsidRPr="006C4D42" w:rsidRDefault="00B47E53" w:rsidP="00B47E53">
      <w:pPr>
        <w:pStyle w:val="ListParagraph"/>
        <w:numPr>
          <w:ilvl w:val="0"/>
          <w:numId w:val="4"/>
        </w:numPr>
        <w:rPr>
          <w:rFonts w:cstheme="minorHAnsi"/>
          <w:sz w:val="24"/>
          <w:szCs w:val="24"/>
        </w:rPr>
      </w:pPr>
      <w:r w:rsidRPr="006C4D42">
        <w:rPr>
          <w:rFonts w:cstheme="minorHAnsi"/>
          <w:sz w:val="24"/>
          <w:szCs w:val="24"/>
        </w:rPr>
        <w:t>National Arts and Disability Strategy 2009 (Commonwealth)</w:t>
      </w:r>
    </w:p>
    <w:p w:rsidR="00B47E53" w:rsidRPr="006C4D42" w:rsidRDefault="00B47E53" w:rsidP="00B47E53">
      <w:pPr>
        <w:pStyle w:val="ListParagraph"/>
        <w:numPr>
          <w:ilvl w:val="0"/>
          <w:numId w:val="4"/>
        </w:numPr>
        <w:rPr>
          <w:rFonts w:cstheme="minorHAnsi"/>
          <w:sz w:val="24"/>
          <w:szCs w:val="24"/>
        </w:rPr>
      </w:pPr>
      <w:r w:rsidRPr="006C4D42">
        <w:rPr>
          <w:rFonts w:cstheme="minorHAnsi"/>
          <w:sz w:val="24"/>
          <w:szCs w:val="24"/>
        </w:rPr>
        <w:t>Disability Services Act 1991 (Australian Capital Territory)</w:t>
      </w:r>
    </w:p>
    <w:p w:rsidR="00B47E53" w:rsidRPr="006C4D42" w:rsidRDefault="00B47E53" w:rsidP="00B47E53">
      <w:pPr>
        <w:pStyle w:val="ListParagraph"/>
        <w:numPr>
          <w:ilvl w:val="0"/>
          <w:numId w:val="4"/>
        </w:numPr>
        <w:rPr>
          <w:rFonts w:cstheme="minorHAnsi"/>
          <w:sz w:val="24"/>
          <w:szCs w:val="24"/>
        </w:rPr>
      </w:pPr>
      <w:r w:rsidRPr="006C4D42">
        <w:rPr>
          <w:rFonts w:cstheme="minorHAnsi"/>
          <w:sz w:val="24"/>
          <w:szCs w:val="24"/>
        </w:rPr>
        <w:t>Disability Justice Strategy 2019–29 (Australian Capital Territory)</w:t>
      </w:r>
    </w:p>
    <w:p w:rsidR="00742065" w:rsidRPr="006C4D42" w:rsidRDefault="00B47E53" w:rsidP="00B47E53">
      <w:pPr>
        <w:pStyle w:val="ListParagraph"/>
        <w:numPr>
          <w:ilvl w:val="0"/>
          <w:numId w:val="4"/>
        </w:numPr>
        <w:rPr>
          <w:rFonts w:cstheme="minorHAnsi"/>
          <w:sz w:val="24"/>
          <w:szCs w:val="24"/>
        </w:rPr>
      </w:pPr>
      <w:r w:rsidRPr="006C4D42">
        <w:rPr>
          <w:rFonts w:cstheme="minorHAnsi"/>
          <w:sz w:val="24"/>
          <w:szCs w:val="24"/>
        </w:rPr>
        <w:t>World Wide Web Consortium (W3C) Web Content Accessibility Guidelines (WCAG).</w:t>
      </w:r>
    </w:p>
    <w:p w:rsidR="00B47E53" w:rsidRPr="006C4D42" w:rsidRDefault="00B47E53" w:rsidP="00B47E53">
      <w:pPr>
        <w:rPr>
          <w:rFonts w:cstheme="minorHAnsi"/>
          <w:sz w:val="24"/>
          <w:szCs w:val="24"/>
        </w:rPr>
      </w:pPr>
    </w:p>
    <w:p w:rsidR="00742065" w:rsidRPr="006C4D42" w:rsidRDefault="00742065" w:rsidP="00742065">
      <w:pPr>
        <w:rPr>
          <w:rFonts w:cstheme="minorHAnsi"/>
          <w:sz w:val="24"/>
          <w:szCs w:val="24"/>
        </w:rPr>
      </w:pPr>
      <w:r w:rsidRPr="006C4D42">
        <w:rPr>
          <w:rFonts w:cstheme="minorHAnsi"/>
          <w:sz w:val="24"/>
          <w:szCs w:val="24"/>
        </w:rPr>
        <w:t xml:space="preserve">15 </w:t>
      </w:r>
      <w:hyperlink r:id="rId12" w:history="1">
        <w:r w:rsidRPr="006C4D42">
          <w:rPr>
            <w:rStyle w:val="Hyperlink"/>
            <w:rFonts w:cstheme="minorHAnsi"/>
            <w:sz w:val="24"/>
            <w:szCs w:val="24"/>
          </w:rPr>
          <w:t>https://www.un.org/development/desa/disabilities/convention-on-the-rights-of-persons-with-disabilities.html</w:t>
        </w:r>
      </w:hyperlink>
      <w:r w:rsidRPr="006C4D42">
        <w:rPr>
          <w:rFonts w:cstheme="minorHAnsi"/>
          <w:sz w:val="24"/>
          <w:szCs w:val="24"/>
        </w:rPr>
        <w:t xml:space="preserve"> </w:t>
      </w:r>
    </w:p>
    <w:p w:rsidR="00742065" w:rsidRPr="006C4D42" w:rsidRDefault="00742065" w:rsidP="00C73F9A">
      <w:pPr>
        <w:rPr>
          <w:rFonts w:cstheme="minorHAnsi"/>
          <w:sz w:val="24"/>
          <w:szCs w:val="24"/>
        </w:rPr>
      </w:pPr>
    </w:p>
    <w:p w:rsidR="00B47E53" w:rsidRPr="006C4D42" w:rsidRDefault="00B47E53">
      <w:pPr>
        <w:rPr>
          <w:rFonts w:cstheme="minorHAnsi"/>
          <w:sz w:val="24"/>
          <w:szCs w:val="24"/>
        </w:rPr>
      </w:pPr>
      <w:r w:rsidRPr="006C4D42">
        <w:rPr>
          <w:rFonts w:cstheme="minorHAnsi"/>
          <w:sz w:val="24"/>
          <w:szCs w:val="24"/>
        </w:rPr>
        <w:br w:type="page"/>
      </w:r>
    </w:p>
    <w:p w:rsidR="00B47E53" w:rsidRPr="006C4D42" w:rsidRDefault="00B47E53" w:rsidP="00B47E53">
      <w:pPr>
        <w:rPr>
          <w:rFonts w:cstheme="minorHAnsi"/>
          <w:b/>
          <w:sz w:val="24"/>
          <w:szCs w:val="24"/>
        </w:rPr>
      </w:pPr>
      <w:r w:rsidRPr="006C4D42">
        <w:rPr>
          <w:rFonts w:cstheme="minorHAnsi"/>
          <w:b/>
          <w:sz w:val="24"/>
          <w:szCs w:val="24"/>
        </w:rPr>
        <w:lastRenderedPageBreak/>
        <w:t>OUR DISABILITY INCLUSION ACTION PLAN</w:t>
      </w:r>
    </w:p>
    <w:p w:rsidR="00B47E53" w:rsidRPr="006C4D42" w:rsidRDefault="00B47E53" w:rsidP="00B47E53">
      <w:pPr>
        <w:rPr>
          <w:rFonts w:cstheme="minorHAnsi"/>
          <w:sz w:val="24"/>
          <w:szCs w:val="24"/>
        </w:rPr>
      </w:pPr>
      <w:r w:rsidRPr="006C4D42">
        <w:rPr>
          <w:rFonts w:cstheme="minorHAnsi"/>
          <w:sz w:val="24"/>
          <w:szCs w:val="24"/>
        </w:rPr>
        <w:t>1 in 5 Australians are people with disability – a large proportion of our society. Most people will experience some type of disability in their lifetime and many of us are also carers and support people for friends or family members with disability. We need to ensure that our attitudes are inclusive, our environments accessible, our workforces diverse and our processes user friendly so that everyone can benefit.</w:t>
      </w:r>
    </w:p>
    <w:p w:rsidR="00B47E53" w:rsidRPr="006C4D42" w:rsidRDefault="00B47E53" w:rsidP="00B47E53">
      <w:pPr>
        <w:rPr>
          <w:rFonts w:cstheme="minorHAnsi"/>
          <w:sz w:val="24"/>
          <w:szCs w:val="24"/>
        </w:rPr>
      </w:pPr>
      <w:r w:rsidRPr="006C4D42">
        <w:rPr>
          <w:rFonts w:cstheme="minorHAnsi"/>
          <w:sz w:val="24"/>
          <w:szCs w:val="24"/>
        </w:rPr>
        <w:t>Our DIAP is a tool and resource to help guide us in our work with, by and for people with disability to ensure that everyone can engage with us and we can engage with everyone.</w:t>
      </w:r>
    </w:p>
    <w:p w:rsidR="00B47E53" w:rsidRPr="006C4D42" w:rsidRDefault="00B47E53" w:rsidP="00B47E53">
      <w:pPr>
        <w:rPr>
          <w:rFonts w:cstheme="minorHAnsi"/>
          <w:sz w:val="24"/>
          <w:szCs w:val="24"/>
        </w:rPr>
      </w:pPr>
      <w:r w:rsidRPr="006C4D42">
        <w:rPr>
          <w:rFonts w:cstheme="minorHAnsi"/>
          <w:sz w:val="24"/>
          <w:szCs w:val="24"/>
        </w:rPr>
        <w:t>During our last DIAP, we worked with a talented group of staff and an external Disability Advisory Group to raise our awareness of issues and make key improvements to our space and practices. In this next DIAP, our focus is to build on this momentum and ensure access is built in from the beginning and embedded in the culture of the organisation. We want to aim beyond compliance and minimum standards to best practice and great user experience. This DIAP is about ensuring that access and inclusion is front of mind in everything we do. We are open and willing to change and adapt and there is a real desire from our people to be as accessible as possible. This DIAP is about helping us move forward and having a strategy to guide us and make us accountable.</w:t>
      </w:r>
    </w:p>
    <w:p w:rsidR="00B47E53" w:rsidRPr="006C4D42" w:rsidRDefault="00B47E53" w:rsidP="00B47E53">
      <w:pPr>
        <w:rPr>
          <w:rFonts w:cstheme="minorHAnsi"/>
          <w:b/>
          <w:bCs/>
          <w:sz w:val="24"/>
          <w:szCs w:val="24"/>
        </w:rPr>
      </w:pPr>
      <w:r w:rsidRPr="006C4D42">
        <w:rPr>
          <w:rFonts w:cstheme="minorHAnsi"/>
          <w:b/>
          <w:bCs/>
          <w:sz w:val="24"/>
          <w:szCs w:val="24"/>
        </w:rPr>
        <w:t>Alignment with our Strategy</w:t>
      </w:r>
    </w:p>
    <w:p w:rsidR="00B47E53" w:rsidRPr="006C4D42" w:rsidRDefault="00B47E53" w:rsidP="00B47E53">
      <w:pPr>
        <w:rPr>
          <w:rFonts w:cstheme="minorHAnsi"/>
          <w:sz w:val="24"/>
          <w:szCs w:val="24"/>
        </w:rPr>
      </w:pPr>
      <w:r w:rsidRPr="006C4D42">
        <w:rPr>
          <w:rFonts w:cstheme="minorHAnsi"/>
          <w:sz w:val="24"/>
          <w:szCs w:val="24"/>
        </w:rPr>
        <w:t>Having a DIAP is a core part in enabling us to deliver on our purpose and functions as a publicly funded National Cultural Institution.</w:t>
      </w:r>
    </w:p>
    <w:p w:rsidR="00B47E53" w:rsidRPr="006C4D42" w:rsidRDefault="00B47E53" w:rsidP="00B47E53">
      <w:pPr>
        <w:rPr>
          <w:rFonts w:cstheme="minorHAnsi"/>
          <w:sz w:val="24"/>
          <w:szCs w:val="24"/>
        </w:rPr>
      </w:pPr>
      <w:r w:rsidRPr="006C4D42">
        <w:rPr>
          <w:rFonts w:cstheme="minorHAnsi"/>
          <w:sz w:val="24"/>
          <w:szCs w:val="24"/>
        </w:rPr>
        <w:t>Diversity is a key principle reflected within our organisational vision:</w:t>
      </w:r>
    </w:p>
    <w:p w:rsidR="00B47E53" w:rsidRPr="006C4D42" w:rsidRDefault="00B47E53" w:rsidP="00B47E53">
      <w:pPr>
        <w:rPr>
          <w:rFonts w:cstheme="minorHAnsi"/>
          <w:sz w:val="24"/>
          <w:szCs w:val="24"/>
        </w:rPr>
      </w:pPr>
      <w:r w:rsidRPr="006C4D42">
        <w:rPr>
          <w:rFonts w:cstheme="minorHAnsi"/>
          <w:sz w:val="24"/>
          <w:szCs w:val="24"/>
        </w:rPr>
        <w:t>‘The National Portrait Gallery aspires to reflect the face of Australia. It is the place where the national story unfolds with clarity, without complacency or self-satisfaction. The Gallery uses portraiture to tell Australian stories and to increase understanding and appreciation of Australian people – their identity, history, culture, creativity and diversity.’</w:t>
      </w:r>
    </w:p>
    <w:p w:rsidR="00B47E53" w:rsidRPr="006C4D42" w:rsidRDefault="00B47E53" w:rsidP="00B47E53">
      <w:pPr>
        <w:rPr>
          <w:rFonts w:cstheme="minorHAnsi"/>
          <w:sz w:val="24"/>
          <w:szCs w:val="24"/>
        </w:rPr>
      </w:pPr>
      <w:r w:rsidRPr="006C4D42">
        <w:rPr>
          <w:rFonts w:cstheme="minorHAnsi"/>
          <w:sz w:val="24"/>
          <w:szCs w:val="24"/>
        </w:rPr>
        <w:t>Access and inclusion are also specifically represented as one of our four values:</w:t>
      </w:r>
    </w:p>
    <w:p w:rsidR="00B47E53" w:rsidRPr="006C4D42" w:rsidRDefault="00B47E53" w:rsidP="00B47E53">
      <w:pPr>
        <w:rPr>
          <w:rFonts w:cstheme="minorHAnsi"/>
          <w:sz w:val="24"/>
          <w:szCs w:val="24"/>
        </w:rPr>
      </w:pPr>
      <w:r w:rsidRPr="006C4D42">
        <w:rPr>
          <w:rFonts w:cstheme="minorHAnsi"/>
          <w:sz w:val="24"/>
          <w:szCs w:val="24"/>
        </w:rPr>
        <w:t>We are inclusive and accessible: ‘We are approachable, friendly and welcoming of our visitors and each other. We strive to ensure that the Gallery, the collection and our programs – both onsite and online – are accessible to all.’</w:t>
      </w:r>
    </w:p>
    <w:p w:rsidR="00742065" w:rsidRPr="006C4D42" w:rsidRDefault="00B47E53" w:rsidP="00B47E53">
      <w:pPr>
        <w:rPr>
          <w:rFonts w:cstheme="minorHAnsi"/>
          <w:sz w:val="24"/>
          <w:szCs w:val="24"/>
        </w:rPr>
      </w:pPr>
      <w:r w:rsidRPr="006C4D42">
        <w:rPr>
          <w:rFonts w:cstheme="minorHAnsi"/>
          <w:sz w:val="24"/>
          <w:szCs w:val="24"/>
        </w:rPr>
        <w:t>This DIAP aligns with other key strategies and documents within the organisation, including the NPG Corporate Plan, NPG Operational Plan and the Reconciliation Action Plan.</w:t>
      </w:r>
    </w:p>
    <w:p w:rsidR="00B47E53" w:rsidRPr="006C4D42" w:rsidRDefault="00B47E53" w:rsidP="00B47E53">
      <w:pPr>
        <w:rPr>
          <w:rFonts w:cstheme="minorHAnsi"/>
          <w:b/>
          <w:bCs/>
          <w:sz w:val="24"/>
          <w:szCs w:val="24"/>
        </w:rPr>
      </w:pPr>
      <w:r w:rsidRPr="006C4D42">
        <w:rPr>
          <w:rFonts w:cstheme="minorHAnsi"/>
          <w:b/>
          <w:bCs/>
          <w:sz w:val="24"/>
          <w:szCs w:val="24"/>
        </w:rPr>
        <w:t>Our vision for our DIAP</w:t>
      </w:r>
    </w:p>
    <w:p w:rsidR="00B47E53" w:rsidRPr="006C4D42" w:rsidRDefault="00B47E53" w:rsidP="00B47E53">
      <w:pPr>
        <w:rPr>
          <w:rFonts w:cstheme="minorHAnsi"/>
          <w:sz w:val="24"/>
          <w:szCs w:val="24"/>
        </w:rPr>
      </w:pPr>
      <w:r w:rsidRPr="006C4D42">
        <w:rPr>
          <w:rFonts w:cstheme="minorHAnsi"/>
          <w:sz w:val="24"/>
          <w:szCs w:val="24"/>
        </w:rPr>
        <w:t>The Gallery celebrates inclusion and is committed to creating a welcoming environment for all – by removing or reducing social, economic, physical or behavioural barriers.</w:t>
      </w:r>
    </w:p>
    <w:p w:rsidR="00B47E53" w:rsidRPr="006C4D42" w:rsidRDefault="00B47E53" w:rsidP="00B47E53">
      <w:pPr>
        <w:rPr>
          <w:rFonts w:cstheme="minorHAnsi"/>
          <w:sz w:val="24"/>
          <w:szCs w:val="24"/>
        </w:rPr>
      </w:pPr>
      <w:r w:rsidRPr="006C4D42">
        <w:rPr>
          <w:rFonts w:cstheme="minorHAnsi"/>
          <w:sz w:val="24"/>
          <w:szCs w:val="24"/>
        </w:rPr>
        <w:t>To realise our vision, over the next three years we strive to:</w:t>
      </w:r>
    </w:p>
    <w:p w:rsidR="00B47E53" w:rsidRPr="006C4D42" w:rsidRDefault="00B47E53" w:rsidP="00B47E53">
      <w:pPr>
        <w:pStyle w:val="ListParagraph"/>
        <w:numPr>
          <w:ilvl w:val="0"/>
          <w:numId w:val="5"/>
        </w:numPr>
        <w:rPr>
          <w:rFonts w:cstheme="minorHAnsi"/>
          <w:sz w:val="24"/>
          <w:szCs w:val="24"/>
        </w:rPr>
      </w:pPr>
      <w:r w:rsidRPr="006C4D42">
        <w:rPr>
          <w:rFonts w:cstheme="minorHAnsi"/>
          <w:sz w:val="24"/>
          <w:szCs w:val="24"/>
        </w:rPr>
        <w:t>build organisation-wide capability to increase disability confidence, eliminate discrimination and contribute to improving attitudes towards disability</w:t>
      </w:r>
    </w:p>
    <w:p w:rsidR="00B47E53" w:rsidRPr="006C4D42" w:rsidRDefault="00B47E53" w:rsidP="00B47E53">
      <w:pPr>
        <w:pStyle w:val="ListParagraph"/>
        <w:numPr>
          <w:ilvl w:val="0"/>
          <w:numId w:val="5"/>
        </w:numPr>
        <w:rPr>
          <w:rFonts w:cstheme="minorHAnsi"/>
          <w:sz w:val="24"/>
          <w:szCs w:val="24"/>
        </w:rPr>
      </w:pPr>
      <w:r w:rsidRPr="006C4D42">
        <w:rPr>
          <w:rFonts w:cstheme="minorHAnsi"/>
          <w:sz w:val="24"/>
          <w:szCs w:val="24"/>
        </w:rPr>
        <w:lastRenderedPageBreak/>
        <w:t>reflect contemporary society and promote the representation, recognition and participation of people with disability</w:t>
      </w:r>
    </w:p>
    <w:p w:rsidR="00B47E53" w:rsidRPr="006C4D42" w:rsidRDefault="00B47E53" w:rsidP="00B47E53">
      <w:pPr>
        <w:pStyle w:val="ListParagraph"/>
        <w:numPr>
          <w:ilvl w:val="0"/>
          <w:numId w:val="5"/>
        </w:numPr>
        <w:rPr>
          <w:rFonts w:cstheme="minorHAnsi"/>
          <w:sz w:val="24"/>
          <w:szCs w:val="24"/>
        </w:rPr>
      </w:pPr>
      <w:r w:rsidRPr="006C4D42">
        <w:rPr>
          <w:rFonts w:cstheme="minorHAnsi"/>
          <w:sz w:val="24"/>
          <w:szCs w:val="24"/>
        </w:rPr>
        <w:t>empower people with disability by continuing our improvements onsite and online to enhance access to information, facilities, programs, the collection and exhibitions</w:t>
      </w:r>
    </w:p>
    <w:p w:rsidR="00B47E53" w:rsidRPr="006C4D42" w:rsidRDefault="00B47E53" w:rsidP="00B47E53">
      <w:pPr>
        <w:pStyle w:val="ListParagraph"/>
        <w:numPr>
          <w:ilvl w:val="0"/>
          <w:numId w:val="5"/>
        </w:numPr>
        <w:rPr>
          <w:rFonts w:cstheme="minorHAnsi"/>
          <w:sz w:val="24"/>
          <w:szCs w:val="24"/>
        </w:rPr>
      </w:pPr>
      <w:r w:rsidRPr="006C4D42">
        <w:rPr>
          <w:rFonts w:cstheme="minorHAnsi"/>
          <w:sz w:val="24"/>
          <w:szCs w:val="24"/>
        </w:rPr>
        <w:t>make sustainable advancements in our professional practices by embedding access into our systems, strategies, planning and procedures to enable people with disability equal access to our programs and employment within our organisation.</w:t>
      </w:r>
    </w:p>
    <w:p w:rsidR="00B47E53" w:rsidRPr="006C4D42" w:rsidRDefault="00B47E53" w:rsidP="00B47E53">
      <w:pPr>
        <w:rPr>
          <w:rFonts w:cstheme="minorHAnsi"/>
          <w:b/>
          <w:bCs/>
          <w:sz w:val="24"/>
          <w:szCs w:val="24"/>
        </w:rPr>
      </w:pPr>
      <w:r w:rsidRPr="006C4D42">
        <w:rPr>
          <w:rFonts w:cstheme="minorHAnsi"/>
          <w:b/>
          <w:bCs/>
          <w:sz w:val="24"/>
          <w:szCs w:val="24"/>
        </w:rPr>
        <w:t>Our DIAP principles</w:t>
      </w:r>
    </w:p>
    <w:p w:rsidR="00B47E53" w:rsidRPr="006C4D42" w:rsidRDefault="00B47E53" w:rsidP="00B47E53">
      <w:pPr>
        <w:rPr>
          <w:rFonts w:cstheme="minorHAnsi"/>
          <w:sz w:val="24"/>
          <w:szCs w:val="24"/>
        </w:rPr>
      </w:pPr>
      <w:r w:rsidRPr="006C4D42">
        <w:rPr>
          <w:rFonts w:cstheme="minorHAnsi"/>
          <w:sz w:val="24"/>
          <w:szCs w:val="24"/>
        </w:rPr>
        <w:t>In accordance with our Corporate Plan 2022–23, the Gallery is committed to engaging with audiences and ensuring that accessibility and diversity informs all programming.</w:t>
      </w:r>
    </w:p>
    <w:p w:rsidR="00B47E53" w:rsidRPr="006C4D42" w:rsidRDefault="00B47E53" w:rsidP="00B47E53">
      <w:pPr>
        <w:rPr>
          <w:rFonts w:cstheme="minorHAnsi"/>
          <w:sz w:val="24"/>
          <w:szCs w:val="24"/>
        </w:rPr>
      </w:pPr>
      <w:r w:rsidRPr="006C4D42">
        <w:rPr>
          <w:rFonts w:cstheme="minorHAnsi"/>
          <w:sz w:val="24"/>
          <w:szCs w:val="24"/>
        </w:rPr>
        <w:t>The Gallery is committed to the following accessibility principles:</w:t>
      </w:r>
    </w:p>
    <w:p w:rsidR="00B47E53" w:rsidRPr="006C4D42" w:rsidRDefault="00B47E53" w:rsidP="00B47E53">
      <w:pPr>
        <w:pStyle w:val="ListParagraph"/>
        <w:numPr>
          <w:ilvl w:val="0"/>
          <w:numId w:val="6"/>
        </w:numPr>
        <w:rPr>
          <w:rFonts w:cstheme="minorHAnsi"/>
          <w:sz w:val="24"/>
          <w:szCs w:val="24"/>
        </w:rPr>
      </w:pPr>
      <w:r w:rsidRPr="006C4D42">
        <w:rPr>
          <w:rFonts w:cstheme="minorHAnsi"/>
          <w:sz w:val="24"/>
          <w:szCs w:val="24"/>
        </w:rPr>
        <w:t>We regularly consult with and are informed by our Disability Advisory Group.</w:t>
      </w:r>
    </w:p>
    <w:p w:rsidR="00B47E53" w:rsidRPr="006C4D42" w:rsidRDefault="00B47E53" w:rsidP="00B47E53">
      <w:pPr>
        <w:pStyle w:val="ListParagraph"/>
        <w:numPr>
          <w:ilvl w:val="0"/>
          <w:numId w:val="6"/>
        </w:numPr>
        <w:rPr>
          <w:rFonts w:cstheme="minorHAnsi"/>
          <w:sz w:val="24"/>
          <w:szCs w:val="24"/>
        </w:rPr>
      </w:pPr>
      <w:r w:rsidRPr="006C4D42">
        <w:rPr>
          <w:rFonts w:cstheme="minorHAnsi"/>
          <w:sz w:val="24"/>
          <w:szCs w:val="24"/>
        </w:rPr>
        <w:t>We invite accessibility audits – these may cover physical access points, facilities and exhibition spaces from the perspective of an increasingly broad experience of disability.</w:t>
      </w:r>
    </w:p>
    <w:p w:rsidR="00B47E53" w:rsidRPr="006C4D42" w:rsidRDefault="00B47E53" w:rsidP="00B47E53">
      <w:pPr>
        <w:pStyle w:val="ListParagraph"/>
        <w:numPr>
          <w:ilvl w:val="0"/>
          <w:numId w:val="6"/>
        </w:numPr>
        <w:rPr>
          <w:rFonts w:cstheme="minorHAnsi"/>
          <w:sz w:val="24"/>
          <w:szCs w:val="24"/>
        </w:rPr>
      </w:pPr>
      <w:r w:rsidRPr="006C4D42">
        <w:rPr>
          <w:rFonts w:cstheme="minorHAnsi"/>
          <w:sz w:val="24"/>
          <w:szCs w:val="24"/>
        </w:rPr>
        <w:t>We explore innovative technologies to provide diverse access points to the collection, both onsite and in outreach programs to the community.</w:t>
      </w:r>
    </w:p>
    <w:p w:rsidR="00B47E53" w:rsidRPr="006C4D42" w:rsidRDefault="00B47E53" w:rsidP="00B47E53">
      <w:pPr>
        <w:pStyle w:val="ListParagraph"/>
        <w:numPr>
          <w:ilvl w:val="0"/>
          <w:numId w:val="6"/>
        </w:numPr>
        <w:rPr>
          <w:rFonts w:cstheme="minorHAnsi"/>
          <w:sz w:val="24"/>
          <w:szCs w:val="24"/>
        </w:rPr>
      </w:pPr>
      <w:r w:rsidRPr="006C4D42">
        <w:rPr>
          <w:rFonts w:cstheme="minorHAnsi"/>
          <w:sz w:val="24"/>
          <w:szCs w:val="24"/>
        </w:rPr>
        <w:t>For all our initiatives we strive for best practice and to comply with relevant standards and legislation.</w:t>
      </w:r>
    </w:p>
    <w:p w:rsidR="00B47E53" w:rsidRPr="006C4D42" w:rsidRDefault="00B47E53" w:rsidP="00B47E53">
      <w:pPr>
        <w:pStyle w:val="ListParagraph"/>
        <w:numPr>
          <w:ilvl w:val="0"/>
          <w:numId w:val="6"/>
        </w:numPr>
        <w:rPr>
          <w:rFonts w:cstheme="minorHAnsi"/>
          <w:sz w:val="24"/>
          <w:szCs w:val="24"/>
        </w:rPr>
      </w:pPr>
      <w:r w:rsidRPr="006C4D42">
        <w:rPr>
          <w:rFonts w:cstheme="minorHAnsi"/>
          <w:sz w:val="24"/>
          <w:szCs w:val="24"/>
        </w:rPr>
        <w:t>We eliminate discrimination and welcome staff with different experiences, cultural heritage and educational backgrounds, with employment conditions covered by the National Portrait Gallery Enterprise Agreement 2017–20 and the National Portrait Gallery of Australia Non-SES Employees Determination 2020–21.</w:t>
      </w:r>
    </w:p>
    <w:p w:rsidR="00601A56" w:rsidRPr="006C4D42" w:rsidRDefault="00601A56" w:rsidP="00601A56">
      <w:pPr>
        <w:pStyle w:val="ListParagraph"/>
        <w:numPr>
          <w:ilvl w:val="0"/>
          <w:numId w:val="6"/>
        </w:numPr>
        <w:rPr>
          <w:rFonts w:cstheme="minorHAnsi"/>
          <w:sz w:val="24"/>
          <w:szCs w:val="24"/>
        </w:rPr>
      </w:pPr>
      <w:r w:rsidRPr="006C4D42">
        <w:rPr>
          <w:rFonts w:cstheme="minorHAnsi"/>
          <w:sz w:val="24"/>
          <w:szCs w:val="24"/>
        </w:rPr>
        <w:t>We are accountable and openly invite feedback and engagement with our community, are open to current ideas and actively implement changes.</w:t>
      </w:r>
    </w:p>
    <w:p w:rsidR="00601A56" w:rsidRPr="006C4D42" w:rsidRDefault="00601A56" w:rsidP="00601A56">
      <w:pPr>
        <w:pStyle w:val="ListParagraph"/>
        <w:numPr>
          <w:ilvl w:val="0"/>
          <w:numId w:val="6"/>
        </w:numPr>
        <w:rPr>
          <w:rFonts w:cstheme="minorHAnsi"/>
          <w:sz w:val="24"/>
          <w:szCs w:val="24"/>
        </w:rPr>
      </w:pPr>
      <w:r w:rsidRPr="006C4D42">
        <w:rPr>
          <w:rFonts w:cstheme="minorHAnsi"/>
          <w:sz w:val="24"/>
          <w:szCs w:val="24"/>
        </w:rPr>
        <w:t>With these principles we seek to promote social equity, acknowledge the exceptional contributions people with disability make, and encourage positive community attitudes.</w:t>
      </w:r>
    </w:p>
    <w:p w:rsidR="00601A56" w:rsidRPr="006C4D42" w:rsidRDefault="00601A56" w:rsidP="00601A56">
      <w:pPr>
        <w:rPr>
          <w:rFonts w:cstheme="minorHAnsi"/>
          <w:b/>
          <w:sz w:val="24"/>
          <w:szCs w:val="24"/>
        </w:rPr>
      </w:pPr>
      <w:r w:rsidRPr="006C4D42">
        <w:rPr>
          <w:rFonts w:cstheme="minorHAnsi"/>
          <w:b/>
          <w:sz w:val="24"/>
          <w:szCs w:val="24"/>
        </w:rPr>
        <w:t>Our DIAP goals</w:t>
      </w:r>
    </w:p>
    <w:p w:rsidR="00601A56" w:rsidRPr="006C4D42" w:rsidRDefault="00601A56" w:rsidP="00601A56">
      <w:pPr>
        <w:rPr>
          <w:rFonts w:cstheme="minorHAnsi"/>
          <w:sz w:val="24"/>
          <w:szCs w:val="24"/>
        </w:rPr>
      </w:pPr>
      <w:r w:rsidRPr="006C4D42">
        <w:rPr>
          <w:rFonts w:cstheme="minorHAnsi"/>
          <w:sz w:val="24"/>
          <w:szCs w:val="24"/>
        </w:rPr>
        <w:t>To do this, we have set ourselves the following goals to achieve over the next three years:</w:t>
      </w:r>
    </w:p>
    <w:p w:rsidR="00601A56" w:rsidRPr="006C4D42" w:rsidRDefault="00601A56" w:rsidP="00601A56">
      <w:pPr>
        <w:rPr>
          <w:rFonts w:cstheme="minorHAnsi"/>
          <w:b/>
          <w:sz w:val="24"/>
          <w:szCs w:val="24"/>
        </w:rPr>
      </w:pPr>
      <w:r w:rsidRPr="006C4D42">
        <w:rPr>
          <w:rFonts w:cstheme="minorHAnsi"/>
          <w:b/>
          <w:sz w:val="24"/>
          <w:szCs w:val="24"/>
        </w:rPr>
        <w:t>Goal 1: Attitudes and behaviours</w:t>
      </w:r>
    </w:p>
    <w:p w:rsidR="00601A56" w:rsidRPr="006C4D42" w:rsidRDefault="00601A56" w:rsidP="00601A56">
      <w:pPr>
        <w:rPr>
          <w:rFonts w:cstheme="minorHAnsi"/>
          <w:sz w:val="24"/>
          <w:szCs w:val="24"/>
        </w:rPr>
      </w:pPr>
      <w:r w:rsidRPr="006C4D42">
        <w:rPr>
          <w:rFonts w:cstheme="minorHAnsi"/>
          <w:sz w:val="24"/>
          <w:szCs w:val="24"/>
        </w:rPr>
        <w:t>We remove attitudinal barriers and encourage inclusive behaviours, enabling people with disability to engage and participate in Gallery activities through the reflection and continued training and revision of policy and practice.</w:t>
      </w:r>
    </w:p>
    <w:p w:rsidR="00601A56" w:rsidRPr="006C4D42" w:rsidRDefault="00601A56" w:rsidP="00601A56">
      <w:pPr>
        <w:rPr>
          <w:rFonts w:cstheme="minorHAnsi"/>
          <w:b/>
          <w:sz w:val="24"/>
          <w:szCs w:val="24"/>
        </w:rPr>
      </w:pPr>
      <w:r w:rsidRPr="006C4D42">
        <w:rPr>
          <w:rFonts w:cstheme="minorHAnsi"/>
          <w:b/>
          <w:sz w:val="24"/>
          <w:szCs w:val="24"/>
        </w:rPr>
        <w:t>Goal 2: Liveable communities</w:t>
      </w:r>
    </w:p>
    <w:p w:rsidR="00601A56" w:rsidRPr="006C4D42" w:rsidRDefault="00601A56" w:rsidP="00601A56">
      <w:pPr>
        <w:rPr>
          <w:rFonts w:cstheme="minorHAnsi"/>
          <w:sz w:val="24"/>
          <w:szCs w:val="24"/>
        </w:rPr>
      </w:pPr>
      <w:r w:rsidRPr="006C4D42">
        <w:rPr>
          <w:rFonts w:cstheme="minorHAnsi"/>
          <w:sz w:val="24"/>
          <w:szCs w:val="24"/>
        </w:rPr>
        <w:t>We strive to deliver an accessible physical and digital space to enable universal engagement.</w:t>
      </w:r>
    </w:p>
    <w:p w:rsidR="00601A56" w:rsidRPr="006C4D42" w:rsidRDefault="00601A56" w:rsidP="00601A56">
      <w:pPr>
        <w:rPr>
          <w:rFonts w:cstheme="minorHAnsi"/>
          <w:b/>
          <w:sz w:val="24"/>
          <w:szCs w:val="24"/>
        </w:rPr>
      </w:pPr>
      <w:r w:rsidRPr="006C4D42">
        <w:rPr>
          <w:rFonts w:cstheme="minorHAnsi"/>
          <w:b/>
          <w:sz w:val="24"/>
          <w:szCs w:val="24"/>
        </w:rPr>
        <w:t>Goal 3: Meaningful employment</w:t>
      </w:r>
    </w:p>
    <w:p w:rsidR="00601A56" w:rsidRPr="006C4D42" w:rsidRDefault="00601A56" w:rsidP="00601A56">
      <w:pPr>
        <w:rPr>
          <w:rFonts w:cstheme="minorHAnsi"/>
          <w:sz w:val="24"/>
          <w:szCs w:val="24"/>
        </w:rPr>
      </w:pPr>
      <w:r w:rsidRPr="006C4D42">
        <w:rPr>
          <w:rFonts w:cstheme="minorHAnsi"/>
          <w:sz w:val="24"/>
          <w:szCs w:val="24"/>
        </w:rPr>
        <w:lastRenderedPageBreak/>
        <w:t>We are committed to diversity and inclusion in our staff cohort, with people with disability having the opportunity to gain and retain employment within an accessible environment and an inclusive workplace culture.</w:t>
      </w:r>
    </w:p>
    <w:p w:rsidR="00601A56" w:rsidRPr="006C4D42" w:rsidRDefault="00601A56" w:rsidP="00601A56">
      <w:pPr>
        <w:rPr>
          <w:rFonts w:cstheme="minorHAnsi"/>
          <w:b/>
          <w:sz w:val="24"/>
          <w:szCs w:val="24"/>
        </w:rPr>
      </w:pPr>
      <w:r w:rsidRPr="006C4D42">
        <w:rPr>
          <w:rFonts w:cstheme="minorHAnsi"/>
          <w:b/>
          <w:sz w:val="24"/>
          <w:szCs w:val="24"/>
        </w:rPr>
        <w:t>Goal 4: Systems and processes</w:t>
      </w:r>
    </w:p>
    <w:p w:rsidR="00601A56" w:rsidRPr="006C4D42" w:rsidRDefault="00601A56" w:rsidP="00601A56">
      <w:pPr>
        <w:rPr>
          <w:rFonts w:cstheme="minorHAnsi"/>
          <w:sz w:val="24"/>
          <w:szCs w:val="24"/>
        </w:rPr>
      </w:pPr>
      <w:r w:rsidRPr="006C4D42">
        <w:rPr>
          <w:rFonts w:cstheme="minorHAnsi"/>
          <w:sz w:val="24"/>
          <w:szCs w:val="24"/>
        </w:rPr>
        <w:t>Our information, services and programs are built with accessible and inclusive systems and processes in mind, to ensure everyone can engage with them, with commitment to review and update giving people with disability choice and control.</w:t>
      </w:r>
    </w:p>
    <w:p w:rsidR="00601A56" w:rsidRPr="006C4D42" w:rsidRDefault="00601A56" w:rsidP="00601A56">
      <w:pPr>
        <w:rPr>
          <w:rFonts w:cstheme="minorHAnsi"/>
          <w:sz w:val="24"/>
          <w:szCs w:val="24"/>
        </w:rPr>
      </w:pPr>
      <w:r w:rsidRPr="006C4D42">
        <w:rPr>
          <w:rFonts w:cstheme="minorHAnsi"/>
          <w:sz w:val="24"/>
          <w:szCs w:val="24"/>
        </w:rPr>
        <w:t>In lieu of formal guidelines for Commonwealth entities, we have chosen to follow the NSW DIAP framework, which uses the four outcome areas listed above in our goals. Since its introduction in 2014, this framework has supported NSW entities to drive effective organisational change towards removing or reducing the social, economic, physical and behavioural barriers that prevent people with disability fully engaging with NSW public organisations.</w:t>
      </w:r>
    </w:p>
    <w:p w:rsidR="00601A56" w:rsidRPr="006C4D42" w:rsidRDefault="00601A56" w:rsidP="00601A56">
      <w:pPr>
        <w:rPr>
          <w:rFonts w:cstheme="minorHAnsi"/>
          <w:sz w:val="24"/>
          <w:szCs w:val="24"/>
        </w:rPr>
      </w:pPr>
      <w:r w:rsidRPr="006C4D42">
        <w:rPr>
          <w:rFonts w:cstheme="minorHAnsi"/>
          <w:sz w:val="24"/>
          <w:szCs w:val="24"/>
        </w:rPr>
        <w:t>Underneath these four areas, a range of strategies and actions have been developed which the Gallery will deliver over the next three years. These will enable people with disability to have greater access to Gallery information, services, programs, events and facilities.</w:t>
      </w:r>
    </w:p>
    <w:p w:rsidR="00AD6319" w:rsidRPr="006C4D42" w:rsidRDefault="00AD6319" w:rsidP="00601A56">
      <w:pPr>
        <w:rPr>
          <w:rFonts w:cstheme="minorHAnsi"/>
          <w:sz w:val="24"/>
          <w:szCs w:val="24"/>
        </w:rPr>
      </w:pPr>
    </w:p>
    <w:p w:rsidR="00AD6319" w:rsidRPr="006C4D42" w:rsidRDefault="00AD6319" w:rsidP="00601A56">
      <w:pPr>
        <w:rPr>
          <w:rFonts w:cstheme="minorHAnsi"/>
          <w:sz w:val="24"/>
          <w:szCs w:val="24"/>
        </w:rPr>
      </w:pPr>
    </w:p>
    <w:p w:rsidR="00AD6319" w:rsidRPr="006C4D42" w:rsidRDefault="00AD6319" w:rsidP="00601A56">
      <w:pPr>
        <w:rPr>
          <w:rFonts w:cstheme="minorHAnsi"/>
          <w:sz w:val="24"/>
          <w:szCs w:val="24"/>
        </w:rPr>
      </w:pPr>
    </w:p>
    <w:p w:rsidR="00AD6319" w:rsidRPr="006C4D42" w:rsidRDefault="00AD6319" w:rsidP="00601A56">
      <w:pPr>
        <w:rPr>
          <w:rFonts w:cstheme="minorHAnsi"/>
          <w:sz w:val="24"/>
          <w:szCs w:val="24"/>
        </w:rPr>
      </w:pPr>
    </w:p>
    <w:p w:rsidR="00AD6319" w:rsidRPr="006C4D42" w:rsidRDefault="00AD6319" w:rsidP="00601A56">
      <w:pPr>
        <w:rPr>
          <w:rFonts w:cstheme="minorHAnsi"/>
          <w:sz w:val="24"/>
          <w:szCs w:val="24"/>
        </w:rPr>
      </w:pPr>
    </w:p>
    <w:p w:rsidR="00AD6319" w:rsidRPr="006C4D42" w:rsidRDefault="00AD6319" w:rsidP="00601A56">
      <w:pPr>
        <w:rPr>
          <w:rFonts w:cstheme="minorHAnsi"/>
          <w:sz w:val="24"/>
          <w:szCs w:val="24"/>
        </w:rPr>
      </w:pPr>
    </w:p>
    <w:p w:rsidR="00AD6319" w:rsidRPr="006C4D42" w:rsidRDefault="00AD6319" w:rsidP="00601A56">
      <w:pPr>
        <w:rPr>
          <w:rFonts w:cstheme="minorHAnsi"/>
          <w:sz w:val="24"/>
          <w:szCs w:val="24"/>
        </w:rPr>
      </w:pPr>
    </w:p>
    <w:p w:rsidR="00AD6319" w:rsidRPr="006C4D42" w:rsidRDefault="00AD6319" w:rsidP="00601A56">
      <w:pPr>
        <w:rPr>
          <w:rFonts w:cstheme="minorHAnsi"/>
          <w:sz w:val="24"/>
          <w:szCs w:val="24"/>
        </w:rPr>
      </w:pPr>
    </w:p>
    <w:p w:rsidR="00AD6319" w:rsidRPr="006C4D42" w:rsidRDefault="00AD6319" w:rsidP="00601A56">
      <w:pPr>
        <w:rPr>
          <w:rFonts w:cstheme="minorHAnsi"/>
          <w:sz w:val="24"/>
          <w:szCs w:val="24"/>
        </w:rPr>
      </w:pPr>
    </w:p>
    <w:p w:rsidR="00AD6319" w:rsidRPr="006C4D42" w:rsidRDefault="00AD6319" w:rsidP="00601A56">
      <w:pPr>
        <w:rPr>
          <w:rFonts w:cstheme="minorHAnsi"/>
          <w:sz w:val="24"/>
          <w:szCs w:val="24"/>
        </w:rPr>
      </w:pPr>
    </w:p>
    <w:p w:rsidR="00AD6319" w:rsidRPr="006C4D42" w:rsidRDefault="00AD6319" w:rsidP="00601A56">
      <w:pPr>
        <w:rPr>
          <w:rFonts w:cstheme="minorHAnsi"/>
          <w:sz w:val="24"/>
          <w:szCs w:val="24"/>
        </w:rPr>
      </w:pPr>
    </w:p>
    <w:p w:rsidR="00AD6319" w:rsidRPr="006C4D42" w:rsidRDefault="00AD6319" w:rsidP="00601A56">
      <w:pPr>
        <w:rPr>
          <w:rFonts w:cstheme="minorHAnsi"/>
          <w:sz w:val="24"/>
          <w:szCs w:val="24"/>
        </w:rPr>
      </w:pPr>
    </w:p>
    <w:p w:rsidR="00AD6319" w:rsidRPr="006C4D42" w:rsidRDefault="00AD6319" w:rsidP="00601A56">
      <w:pPr>
        <w:rPr>
          <w:rFonts w:cstheme="minorHAnsi"/>
          <w:sz w:val="24"/>
          <w:szCs w:val="24"/>
        </w:rPr>
      </w:pPr>
    </w:p>
    <w:p w:rsidR="00AD6319" w:rsidRPr="006C4D42" w:rsidRDefault="00AD6319" w:rsidP="00601A56">
      <w:pPr>
        <w:rPr>
          <w:rFonts w:cstheme="minorHAnsi"/>
          <w:sz w:val="24"/>
          <w:szCs w:val="24"/>
        </w:rPr>
      </w:pPr>
    </w:p>
    <w:p w:rsidR="00AD6319" w:rsidRPr="006C4D42" w:rsidRDefault="00AD6319" w:rsidP="00601A56">
      <w:pPr>
        <w:rPr>
          <w:rFonts w:cstheme="minorHAnsi"/>
          <w:sz w:val="24"/>
          <w:szCs w:val="24"/>
        </w:rPr>
      </w:pPr>
    </w:p>
    <w:p w:rsidR="00AD6319" w:rsidRPr="006C4D42" w:rsidRDefault="00AD6319" w:rsidP="00601A56">
      <w:pPr>
        <w:rPr>
          <w:rFonts w:cstheme="minorHAnsi"/>
          <w:sz w:val="24"/>
          <w:szCs w:val="24"/>
        </w:rPr>
      </w:pPr>
    </w:p>
    <w:p w:rsidR="00601A56" w:rsidRPr="006C4D42" w:rsidRDefault="00601A56">
      <w:pPr>
        <w:rPr>
          <w:rFonts w:cstheme="minorHAnsi"/>
          <w:sz w:val="24"/>
          <w:szCs w:val="24"/>
        </w:rPr>
      </w:pPr>
      <w:r w:rsidRPr="006C4D42">
        <w:rPr>
          <w:rFonts w:cstheme="minorHAnsi"/>
          <w:sz w:val="24"/>
          <w:szCs w:val="24"/>
        </w:rPr>
        <w:br w:type="page"/>
      </w:r>
    </w:p>
    <w:p w:rsidR="00601A56" w:rsidRPr="006C4D42" w:rsidRDefault="00601A56" w:rsidP="00601A56">
      <w:pPr>
        <w:rPr>
          <w:rFonts w:cstheme="minorHAnsi"/>
          <w:b/>
          <w:sz w:val="24"/>
          <w:szCs w:val="24"/>
        </w:rPr>
      </w:pPr>
      <w:r w:rsidRPr="006C4D42">
        <w:rPr>
          <w:rFonts w:cstheme="minorHAnsi"/>
          <w:b/>
          <w:sz w:val="24"/>
          <w:szCs w:val="24"/>
        </w:rPr>
        <w:lastRenderedPageBreak/>
        <w:t>OUR ACHIEVEMENTS TO DATE</w:t>
      </w:r>
    </w:p>
    <w:p w:rsidR="00601A56" w:rsidRPr="006C4D42" w:rsidRDefault="00601A56" w:rsidP="00601A56">
      <w:pPr>
        <w:rPr>
          <w:rFonts w:cstheme="minorHAnsi"/>
          <w:sz w:val="24"/>
          <w:szCs w:val="24"/>
        </w:rPr>
      </w:pPr>
      <w:r w:rsidRPr="006C4D42">
        <w:rPr>
          <w:rFonts w:cstheme="minorHAnsi"/>
          <w:sz w:val="24"/>
          <w:szCs w:val="24"/>
        </w:rPr>
        <w:t>During the period 2018–20, the Gallery implemented our first Access Action Plan. Over these years, we delivered several initiatives and made positive progress in many areas across our organisation. Our staff also increased their understanding of accessibility and learnt much along the way.</w:t>
      </w:r>
    </w:p>
    <w:p w:rsidR="00601A56" w:rsidRPr="006C4D42" w:rsidRDefault="00601A56" w:rsidP="00601A56">
      <w:pPr>
        <w:rPr>
          <w:rFonts w:cstheme="minorHAnsi"/>
          <w:sz w:val="24"/>
          <w:szCs w:val="24"/>
        </w:rPr>
      </w:pPr>
      <w:r w:rsidRPr="006C4D42">
        <w:rPr>
          <w:rFonts w:cstheme="minorHAnsi"/>
          <w:sz w:val="24"/>
          <w:szCs w:val="24"/>
        </w:rPr>
        <w:t>We were proud to be one of the first organisations in Canberra to engage an external Disability Advisory Group to inform our work. Learning from their lived experience and expertise has shaped our achievements and goals in this area.</w:t>
      </w:r>
    </w:p>
    <w:p w:rsidR="00601A56" w:rsidRPr="006C4D42" w:rsidRDefault="00601A56" w:rsidP="00601A56">
      <w:pPr>
        <w:rPr>
          <w:rFonts w:cstheme="minorHAnsi"/>
          <w:sz w:val="24"/>
          <w:szCs w:val="24"/>
        </w:rPr>
      </w:pPr>
      <w:r w:rsidRPr="006C4D42">
        <w:rPr>
          <w:rFonts w:cstheme="minorHAnsi"/>
          <w:sz w:val="24"/>
          <w:szCs w:val="24"/>
        </w:rPr>
        <w:t>We have aimed to be inclusive in our delivery of programs, visitor experience and the navigation of our physical spaces and facilities.</w:t>
      </w:r>
    </w:p>
    <w:p w:rsidR="00B47E53" w:rsidRPr="006C4D42" w:rsidRDefault="00601A56" w:rsidP="00601A56">
      <w:pPr>
        <w:rPr>
          <w:rFonts w:cstheme="minorHAnsi"/>
          <w:sz w:val="24"/>
          <w:szCs w:val="24"/>
        </w:rPr>
      </w:pPr>
      <w:r w:rsidRPr="006C4D42">
        <w:rPr>
          <w:rFonts w:cstheme="minorHAnsi"/>
          <w:sz w:val="24"/>
          <w:szCs w:val="24"/>
        </w:rPr>
        <w:t>The three case studies following are highlighted as recent achievements.</w:t>
      </w:r>
    </w:p>
    <w:p w:rsidR="00601A56" w:rsidRPr="006C4D42" w:rsidRDefault="00601A56" w:rsidP="00601A56">
      <w:pPr>
        <w:rPr>
          <w:rFonts w:cstheme="minorHAnsi"/>
          <w:sz w:val="24"/>
          <w:szCs w:val="24"/>
        </w:rPr>
      </w:pPr>
      <w:r w:rsidRPr="006C4D42">
        <w:rPr>
          <w:rFonts w:cstheme="minorHAnsi"/>
          <w:b/>
          <w:sz w:val="24"/>
          <w:szCs w:val="24"/>
        </w:rPr>
        <w:t>Case Study 1:</w:t>
      </w:r>
      <w:r w:rsidRPr="006C4D42">
        <w:rPr>
          <w:rFonts w:cstheme="minorHAnsi"/>
          <w:sz w:val="24"/>
          <w:szCs w:val="24"/>
        </w:rPr>
        <w:t xml:space="preserve"> </w:t>
      </w:r>
      <w:r w:rsidRPr="006C4D42">
        <w:rPr>
          <w:rFonts w:cstheme="minorHAnsi"/>
          <w:b/>
          <w:bCs/>
          <w:sz w:val="24"/>
          <w:szCs w:val="24"/>
        </w:rPr>
        <w:t>Inclusive Family Programming | Story Time</w:t>
      </w:r>
    </w:p>
    <w:p w:rsidR="00601A56" w:rsidRPr="006C4D42" w:rsidRDefault="00601A56" w:rsidP="00601A56">
      <w:pPr>
        <w:rPr>
          <w:rFonts w:cstheme="minorHAnsi"/>
          <w:bCs/>
          <w:sz w:val="24"/>
          <w:szCs w:val="24"/>
        </w:rPr>
      </w:pPr>
      <w:r w:rsidRPr="006C4D42">
        <w:rPr>
          <w:rFonts w:cstheme="minorHAnsi"/>
          <w:bCs/>
          <w:sz w:val="24"/>
          <w:szCs w:val="24"/>
        </w:rPr>
        <w:t>‘I am overwhelmed. To not only see children who are d/Deaf interacting with everyone, but to see youngsters with their adults – sharing stories and dancing together. I brought my granddaughters with me and this has been such a special day with them.’</w:t>
      </w:r>
      <w:r w:rsidR="006515AA" w:rsidRPr="006C4D42">
        <w:rPr>
          <w:rFonts w:cstheme="minorHAnsi"/>
          <w:bCs/>
          <w:sz w:val="24"/>
          <w:szCs w:val="24"/>
        </w:rPr>
        <w:t xml:space="preserve"> </w:t>
      </w:r>
      <w:r w:rsidRPr="006C4D42">
        <w:rPr>
          <w:rFonts w:cstheme="minorHAnsi"/>
          <w:sz w:val="24"/>
          <w:szCs w:val="24"/>
        </w:rPr>
        <w:t>Participant feedback</w:t>
      </w:r>
    </w:p>
    <w:p w:rsidR="00601A56" w:rsidRPr="006C4D42" w:rsidRDefault="00601A56" w:rsidP="00601A56">
      <w:pPr>
        <w:rPr>
          <w:rFonts w:cstheme="minorHAnsi"/>
          <w:sz w:val="24"/>
          <w:szCs w:val="24"/>
        </w:rPr>
      </w:pPr>
      <w:r w:rsidRPr="006C4D42">
        <w:rPr>
          <w:rFonts w:cstheme="minorHAnsi"/>
          <w:sz w:val="24"/>
          <w:szCs w:val="24"/>
        </w:rPr>
        <w:t>The Gallery works to embed inclusion across all our public</w:t>
      </w:r>
      <w:r w:rsidR="006515AA" w:rsidRPr="006C4D42">
        <w:rPr>
          <w:rFonts w:cstheme="minorHAnsi"/>
          <w:sz w:val="24"/>
          <w:szCs w:val="24"/>
        </w:rPr>
        <w:t xml:space="preserve"> </w:t>
      </w:r>
      <w:r w:rsidRPr="006C4D42">
        <w:rPr>
          <w:rFonts w:cstheme="minorHAnsi"/>
          <w:sz w:val="24"/>
          <w:szCs w:val="24"/>
        </w:rPr>
        <w:t>programming. The popular and well-established Story Time</w:t>
      </w:r>
      <w:r w:rsidR="006515AA" w:rsidRPr="006C4D42">
        <w:rPr>
          <w:rFonts w:cstheme="minorHAnsi"/>
          <w:sz w:val="24"/>
          <w:szCs w:val="24"/>
        </w:rPr>
        <w:t xml:space="preserve"> </w:t>
      </w:r>
      <w:r w:rsidRPr="006C4D42">
        <w:rPr>
          <w:rFonts w:cstheme="minorHAnsi"/>
          <w:sz w:val="24"/>
          <w:szCs w:val="24"/>
        </w:rPr>
        <w:t>holiday program aligns with our values of being accessible</w:t>
      </w:r>
      <w:r w:rsidR="006515AA" w:rsidRPr="006C4D42">
        <w:rPr>
          <w:rFonts w:cstheme="minorHAnsi"/>
          <w:sz w:val="24"/>
          <w:szCs w:val="24"/>
        </w:rPr>
        <w:t xml:space="preserve"> </w:t>
      </w:r>
      <w:r w:rsidRPr="006C4D42">
        <w:rPr>
          <w:rFonts w:cstheme="minorHAnsi"/>
          <w:sz w:val="24"/>
          <w:szCs w:val="24"/>
        </w:rPr>
        <w:t>to all.</w:t>
      </w:r>
    </w:p>
    <w:p w:rsidR="00601A56" w:rsidRPr="006C4D42" w:rsidRDefault="00601A56" w:rsidP="00601A56">
      <w:pPr>
        <w:rPr>
          <w:rFonts w:cstheme="minorHAnsi"/>
          <w:sz w:val="24"/>
          <w:szCs w:val="24"/>
        </w:rPr>
      </w:pPr>
      <w:r w:rsidRPr="006C4D42">
        <w:rPr>
          <w:rFonts w:cstheme="minorHAnsi"/>
          <w:sz w:val="24"/>
          <w:szCs w:val="24"/>
        </w:rPr>
        <w:t>This gentle program is delivered every school holiday for</w:t>
      </w:r>
      <w:r w:rsidR="006515AA" w:rsidRPr="006C4D42">
        <w:rPr>
          <w:rFonts w:cstheme="minorHAnsi"/>
          <w:sz w:val="24"/>
          <w:szCs w:val="24"/>
        </w:rPr>
        <w:t xml:space="preserve"> </w:t>
      </w:r>
      <w:r w:rsidRPr="006C4D42">
        <w:rPr>
          <w:rFonts w:cstheme="minorHAnsi"/>
          <w:sz w:val="24"/>
          <w:szCs w:val="24"/>
        </w:rPr>
        <w:t>carers, family and friendship groups with young children.</w:t>
      </w:r>
      <w:r w:rsidR="006515AA" w:rsidRPr="006C4D42">
        <w:rPr>
          <w:rFonts w:cstheme="minorHAnsi"/>
          <w:sz w:val="24"/>
          <w:szCs w:val="24"/>
        </w:rPr>
        <w:t xml:space="preserve"> </w:t>
      </w:r>
      <w:r w:rsidRPr="006C4D42">
        <w:rPr>
          <w:rFonts w:cstheme="minorHAnsi"/>
          <w:sz w:val="24"/>
          <w:szCs w:val="24"/>
        </w:rPr>
        <w:t>Participants listen to a story connected to the collection,</w:t>
      </w:r>
      <w:r w:rsidR="006515AA" w:rsidRPr="006C4D42">
        <w:rPr>
          <w:rFonts w:cstheme="minorHAnsi"/>
          <w:sz w:val="24"/>
          <w:szCs w:val="24"/>
        </w:rPr>
        <w:t xml:space="preserve"> </w:t>
      </w:r>
      <w:r w:rsidRPr="006C4D42">
        <w:rPr>
          <w:rFonts w:cstheme="minorHAnsi"/>
          <w:sz w:val="24"/>
          <w:szCs w:val="24"/>
        </w:rPr>
        <w:t>temporary exhibitions or themes around identity and respond</w:t>
      </w:r>
      <w:r w:rsidR="006515AA" w:rsidRPr="006C4D42">
        <w:rPr>
          <w:rFonts w:cstheme="minorHAnsi"/>
          <w:sz w:val="24"/>
          <w:szCs w:val="24"/>
        </w:rPr>
        <w:t xml:space="preserve"> </w:t>
      </w:r>
      <w:r w:rsidRPr="006C4D42">
        <w:rPr>
          <w:rFonts w:cstheme="minorHAnsi"/>
          <w:sz w:val="24"/>
          <w:szCs w:val="24"/>
        </w:rPr>
        <w:t>with creative making activity. Story Time promotes cross</w:t>
      </w:r>
      <w:r w:rsidR="006515AA" w:rsidRPr="006C4D42">
        <w:rPr>
          <w:rFonts w:cstheme="minorHAnsi"/>
          <w:sz w:val="24"/>
          <w:szCs w:val="24"/>
        </w:rPr>
        <w:t>-</w:t>
      </w:r>
      <w:r w:rsidRPr="006C4D42">
        <w:rPr>
          <w:rFonts w:cstheme="minorHAnsi"/>
          <w:sz w:val="24"/>
          <w:szCs w:val="24"/>
        </w:rPr>
        <w:t>generational</w:t>
      </w:r>
      <w:r w:rsidR="006515AA" w:rsidRPr="006C4D42">
        <w:rPr>
          <w:rFonts w:cstheme="minorHAnsi"/>
          <w:sz w:val="24"/>
          <w:szCs w:val="24"/>
        </w:rPr>
        <w:t xml:space="preserve"> </w:t>
      </w:r>
      <w:r w:rsidRPr="006C4D42">
        <w:rPr>
          <w:rFonts w:cstheme="minorHAnsi"/>
          <w:sz w:val="24"/>
          <w:szCs w:val="24"/>
        </w:rPr>
        <w:t>learning and provides a safe and welcoming space</w:t>
      </w:r>
      <w:r w:rsidR="006515AA" w:rsidRPr="006C4D42">
        <w:rPr>
          <w:rFonts w:cstheme="minorHAnsi"/>
          <w:sz w:val="24"/>
          <w:szCs w:val="24"/>
        </w:rPr>
        <w:t xml:space="preserve"> </w:t>
      </w:r>
      <w:r w:rsidRPr="006C4D42">
        <w:rPr>
          <w:rFonts w:cstheme="minorHAnsi"/>
          <w:sz w:val="24"/>
          <w:szCs w:val="24"/>
        </w:rPr>
        <w:t>to be imaginative.</w:t>
      </w:r>
    </w:p>
    <w:p w:rsidR="00601A56" w:rsidRPr="006C4D42" w:rsidRDefault="00601A56" w:rsidP="00601A56">
      <w:pPr>
        <w:rPr>
          <w:rFonts w:cstheme="minorHAnsi"/>
          <w:sz w:val="24"/>
          <w:szCs w:val="24"/>
        </w:rPr>
      </w:pPr>
      <w:r w:rsidRPr="006C4D42">
        <w:rPr>
          <w:rFonts w:cstheme="minorHAnsi"/>
          <w:sz w:val="24"/>
          <w:szCs w:val="24"/>
        </w:rPr>
        <w:t>During the holiday period of Summer 2021–22, the children’s</w:t>
      </w:r>
      <w:r w:rsidR="006515AA" w:rsidRPr="006C4D42">
        <w:rPr>
          <w:rFonts w:cstheme="minorHAnsi"/>
          <w:sz w:val="24"/>
          <w:szCs w:val="24"/>
        </w:rPr>
        <w:t xml:space="preserve"> </w:t>
      </w:r>
      <w:r w:rsidRPr="006C4D42">
        <w:rPr>
          <w:rFonts w:cstheme="minorHAnsi"/>
          <w:sz w:val="24"/>
          <w:szCs w:val="24"/>
        </w:rPr>
        <w:t>book Dancing with Memories by Sally Yule and illustrated</w:t>
      </w:r>
      <w:r w:rsidR="006515AA" w:rsidRPr="006C4D42">
        <w:rPr>
          <w:rFonts w:cstheme="minorHAnsi"/>
          <w:sz w:val="24"/>
          <w:szCs w:val="24"/>
        </w:rPr>
        <w:t xml:space="preserve"> </w:t>
      </w:r>
      <w:r w:rsidRPr="006C4D42">
        <w:rPr>
          <w:rFonts w:cstheme="minorHAnsi"/>
          <w:sz w:val="24"/>
          <w:szCs w:val="24"/>
        </w:rPr>
        <w:t>by Cheryl Orsini was chosen for its delightful depiction of</w:t>
      </w:r>
      <w:r w:rsidR="006515AA" w:rsidRPr="006C4D42">
        <w:rPr>
          <w:rFonts w:cstheme="minorHAnsi"/>
          <w:sz w:val="24"/>
          <w:szCs w:val="24"/>
        </w:rPr>
        <w:t xml:space="preserve"> </w:t>
      </w:r>
      <w:r w:rsidRPr="006C4D42">
        <w:rPr>
          <w:rFonts w:cstheme="minorHAnsi"/>
          <w:sz w:val="24"/>
          <w:szCs w:val="24"/>
        </w:rPr>
        <w:t>Lucy, a grandmother living well with dementia. This program</w:t>
      </w:r>
      <w:r w:rsidR="006515AA" w:rsidRPr="006C4D42">
        <w:rPr>
          <w:rFonts w:cstheme="minorHAnsi"/>
          <w:sz w:val="24"/>
          <w:szCs w:val="24"/>
        </w:rPr>
        <w:t xml:space="preserve"> </w:t>
      </w:r>
      <w:r w:rsidRPr="006C4D42">
        <w:rPr>
          <w:rFonts w:cstheme="minorHAnsi"/>
          <w:sz w:val="24"/>
          <w:szCs w:val="24"/>
        </w:rPr>
        <w:t>was delivered onsite and streamed live online for national</w:t>
      </w:r>
      <w:r w:rsidR="006515AA" w:rsidRPr="006C4D42">
        <w:rPr>
          <w:rFonts w:cstheme="minorHAnsi"/>
          <w:sz w:val="24"/>
          <w:szCs w:val="24"/>
        </w:rPr>
        <w:t xml:space="preserve"> </w:t>
      </w:r>
      <w:r w:rsidRPr="006C4D42">
        <w:rPr>
          <w:rFonts w:cstheme="minorHAnsi"/>
          <w:sz w:val="24"/>
          <w:szCs w:val="24"/>
        </w:rPr>
        <w:t xml:space="preserve">audiences. It was </w:t>
      </w:r>
      <w:proofErr w:type="spellStart"/>
      <w:r w:rsidRPr="006C4D42">
        <w:rPr>
          <w:rFonts w:cstheme="minorHAnsi"/>
          <w:sz w:val="24"/>
          <w:szCs w:val="24"/>
        </w:rPr>
        <w:t>Auslan</w:t>
      </w:r>
      <w:proofErr w:type="spellEnd"/>
      <w:r w:rsidRPr="006C4D42">
        <w:rPr>
          <w:rFonts w:cstheme="minorHAnsi"/>
          <w:sz w:val="24"/>
          <w:szCs w:val="24"/>
        </w:rPr>
        <w:t>-interpreted and captioned and</w:t>
      </w:r>
      <w:r w:rsidR="006515AA" w:rsidRPr="006C4D42">
        <w:rPr>
          <w:rFonts w:cstheme="minorHAnsi"/>
          <w:sz w:val="24"/>
          <w:szCs w:val="24"/>
        </w:rPr>
        <w:t xml:space="preserve"> </w:t>
      </w:r>
      <w:r w:rsidRPr="006C4D42">
        <w:rPr>
          <w:rFonts w:cstheme="minorHAnsi"/>
          <w:sz w:val="24"/>
          <w:szCs w:val="24"/>
        </w:rPr>
        <w:t>hugely enjoyed by diverse intergenerational family audiences</w:t>
      </w:r>
      <w:r w:rsidR="006515AA" w:rsidRPr="006C4D42">
        <w:rPr>
          <w:rFonts w:cstheme="minorHAnsi"/>
          <w:sz w:val="24"/>
          <w:szCs w:val="24"/>
        </w:rPr>
        <w:t xml:space="preserve"> </w:t>
      </w:r>
      <w:r w:rsidRPr="006C4D42">
        <w:rPr>
          <w:rFonts w:cstheme="minorHAnsi"/>
          <w:sz w:val="24"/>
          <w:szCs w:val="24"/>
        </w:rPr>
        <w:t>including hard of hearing and d/Deaf children.</w:t>
      </w:r>
      <w:r w:rsidR="006515AA" w:rsidRPr="006C4D42">
        <w:rPr>
          <w:rFonts w:cstheme="minorHAnsi"/>
          <w:sz w:val="24"/>
          <w:szCs w:val="24"/>
        </w:rPr>
        <w:t xml:space="preserve"> </w:t>
      </w:r>
      <w:r w:rsidRPr="006C4D42">
        <w:rPr>
          <w:rFonts w:cstheme="minorHAnsi"/>
          <w:sz w:val="24"/>
          <w:szCs w:val="24"/>
        </w:rPr>
        <w:t>Participants were invited to listen to the story read by</w:t>
      </w:r>
      <w:r w:rsidR="006515AA" w:rsidRPr="006C4D42">
        <w:rPr>
          <w:rFonts w:cstheme="minorHAnsi"/>
          <w:sz w:val="24"/>
          <w:szCs w:val="24"/>
        </w:rPr>
        <w:t xml:space="preserve"> </w:t>
      </w:r>
      <w:r w:rsidRPr="006C4D42">
        <w:rPr>
          <w:rFonts w:cstheme="minorHAnsi"/>
          <w:sz w:val="24"/>
          <w:szCs w:val="24"/>
        </w:rPr>
        <w:t>Sally Yule, create a movement sequence guided by wellbeing</w:t>
      </w:r>
      <w:r w:rsidR="006515AA" w:rsidRPr="006C4D42">
        <w:rPr>
          <w:rFonts w:cstheme="minorHAnsi"/>
          <w:sz w:val="24"/>
          <w:szCs w:val="24"/>
        </w:rPr>
        <w:t xml:space="preserve"> </w:t>
      </w:r>
      <w:r w:rsidRPr="006C4D42">
        <w:rPr>
          <w:rFonts w:cstheme="minorHAnsi"/>
          <w:sz w:val="24"/>
          <w:szCs w:val="24"/>
        </w:rPr>
        <w:t>dance artist Phillip Piggin, and led in art making activities</w:t>
      </w:r>
      <w:r w:rsidR="006515AA" w:rsidRPr="006C4D42">
        <w:rPr>
          <w:rFonts w:cstheme="minorHAnsi"/>
          <w:sz w:val="24"/>
          <w:szCs w:val="24"/>
        </w:rPr>
        <w:t xml:space="preserve"> </w:t>
      </w:r>
      <w:r w:rsidRPr="006C4D42">
        <w:rPr>
          <w:rFonts w:cstheme="minorHAnsi"/>
          <w:sz w:val="24"/>
          <w:szCs w:val="24"/>
        </w:rPr>
        <w:t>with Cheryl Orsini.</w:t>
      </w:r>
    </w:p>
    <w:p w:rsidR="00601A56" w:rsidRPr="006C4D42" w:rsidRDefault="00601A56" w:rsidP="00601A56">
      <w:pPr>
        <w:rPr>
          <w:rFonts w:cstheme="minorHAnsi"/>
          <w:sz w:val="24"/>
          <w:szCs w:val="24"/>
        </w:rPr>
      </w:pPr>
      <w:r w:rsidRPr="006C4D42">
        <w:rPr>
          <w:rFonts w:cstheme="minorHAnsi"/>
          <w:sz w:val="24"/>
          <w:szCs w:val="24"/>
        </w:rPr>
        <w:t>Feedback from grandparents who had brought their</w:t>
      </w:r>
      <w:r w:rsidR="006515AA" w:rsidRPr="006C4D42">
        <w:rPr>
          <w:rFonts w:cstheme="minorHAnsi"/>
          <w:sz w:val="24"/>
          <w:szCs w:val="24"/>
        </w:rPr>
        <w:t xml:space="preserve"> </w:t>
      </w:r>
      <w:r w:rsidRPr="006C4D42">
        <w:rPr>
          <w:rFonts w:cstheme="minorHAnsi"/>
          <w:sz w:val="24"/>
          <w:szCs w:val="24"/>
        </w:rPr>
        <w:t>grandchildren along revealed the importance of these</w:t>
      </w:r>
      <w:r w:rsidR="006515AA" w:rsidRPr="006C4D42">
        <w:rPr>
          <w:rFonts w:cstheme="minorHAnsi"/>
          <w:sz w:val="24"/>
          <w:szCs w:val="24"/>
        </w:rPr>
        <w:t xml:space="preserve"> </w:t>
      </w:r>
      <w:r w:rsidRPr="006C4D42">
        <w:rPr>
          <w:rFonts w:cstheme="minorHAnsi"/>
          <w:sz w:val="24"/>
          <w:szCs w:val="24"/>
        </w:rPr>
        <w:t>programs in highlighting the issues and connections needed</w:t>
      </w:r>
      <w:r w:rsidR="006515AA" w:rsidRPr="006C4D42">
        <w:rPr>
          <w:rFonts w:cstheme="minorHAnsi"/>
          <w:sz w:val="24"/>
          <w:szCs w:val="24"/>
        </w:rPr>
        <w:t xml:space="preserve"> </w:t>
      </w:r>
      <w:r w:rsidRPr="006C4D42">
        <w:rPr>
          <w:rFonts w:cstheme="minorHAnsi"/>
          <w:sz w:val="24"/>
          <w:szCs w:val="24"/>
        </w:rPr>
        <w:t>to support the wellbeing of our ageing population</w:t>
      </w:r>
      <w:r w:rsidR="006515AA" w:rsidRPr="006C4D42">
        <w:rPr>
          <w:rFonts w:cstheme="minorHAnsi"/>
          <w:sz w:val="24"/>
          <w:szCs w:val="24"/>
        </w:rPr>
        <w:t>.</w:t>
      </w:r>
    </w:p>
    <w:p w:rsidR="006515AA" w:rsidRPr="006C4D42" w:rsidRDefault="00270431" w:rsidP="00270431">
      <w:pPr>
        <w:rPr>
          <w:rFonts w:cstheme="minorHAnsi"/>
          <w:sz w:val="24"/>
          <w:szCs w:val="24"/>
        </w:rPr>
      </w:pPr>
      <w:r w:rsidRPr="006C4D42">
        <w:rPr>
          <w:rFonts w:cstheme="minorHAnsi"/>
          <w:b/>
          <w:sz w:val="24"/>
          <w:szCs w:val="24"/>
        </w:rPr>
        <w:t xml:space="preserve">Case Study 2: </w:t>
      </w:r>
      <w:r w:rsidRPr="006C4D42">
        <w:rPr>
          <w:rFonts w:cstheme="minorHAnsi"/>
          <w:b/>
          <w:bCs/>
          <w:sz w:val="24"/>
          <w:szCs w:val="24"/>
        </w:rPr>
        <w:t>Collaborations and Training | Audio Description Project</w:t>
      </w:r>
    </w:p>
    <w:p w:rsidR="006515AA" w:rsidRPr="006C4D42" w:rsidRDefault="00270431" w:rsidP="00270431">
      <w:pPr>
        <w:rPr>
          <w:rFonts w:cstheme="minorHAnsi"/>
          <w:bCs/>
          <w:sz w:val="24"/>
          <w:szCs w:val="24"/>
        </w:rPr>
      </w:pPr>
      <w:r w:rsidRPr="006C4D42">
        <w:rPr>
          <w:rFonts w:cstheme="minorHAnsi"/>
          <w:bCs/>
          <w:sz w:val="24"/>
          <w:szCs w:val="24"/>
        </w:rPr>
        <w:t xml:space="preserve">‘I had been listening to your audio descriptions on your website but when I realised you were doing tours with the descriptions I was curious and excited to come here in person. I felt very welcome.’ </w:t>
      </w:r>
      <w:r w:rsidRPr="006C4D42">
        <w:rPr>
          <w:rFonts w:cstheme="minorHAnsi"/>
          <w:sz w:val="24"/>
          <w:szCs w:val="24"/>
        </w:rPr>
        <w:t>Participant feedback</w:t>
      </w:r>
    </w:p>
    <w:p w:rsidR="00270431" w:rsidRPr="006C4D42" w:rsidRDefault="00270431" w:rsidP="00270431">
      <w:pPr>
        <w:rPr>
          <w:rFonts w:cstheme="minorHAnsi"/>
          <w:sz w:val="24"/>
          <w:szCs w:val="24"/>
        </w:rPr>
      </w:pPr>
      <w:r w:rsidRPr="006C4D42">
        <w:rPr>
          <w:rFonts w:cstheme="minorHAnsi"/>
          <w:sz w:val="24"/>
          <w:szCs w:val="24"/>
        </w:rPr>
        <w:lastRenderedPageBreak/>
        <w:t xml:space="preserve">Audio description is the accessibility of visual media for people who are blind or have low vision, and a powerful tool to remove barriers to access. </w:t>
      </w:r>
    </w:p>
    <w:p w:rsidR="00270431" w:rsidRPr="006C4D42" w:rsidRDefault="00270431" w:rsidP="00270431">
      <w:pPr>
        <w:rPr>
          <w:rFonts w:cstheme="minorHAnsi"/>
          <w:sz w:val="24"/>
          <w:szCs w:val="24"/>
        </w:rPr>
      </w:pPr>
      <w:r w:rsidRPr="006C4D42">
        <w:rPr>
          <w:rFonts w:cstheme="minorHAnsi"/>
          <w:sz w:val="24"/>
          <w:szCs w:val="24"/>
        </w:rPr>
        <w:t>The Audio Description Project at the Gallery began in 2019 with the aim of increasing inclusivity for visitors who are blind or have low vision. The Access and Learning section underwent immersive training in how to write audio description with Access2Arts, a disability-led arts development agency and peak body for arts and disability in South Australia. This collaboration continues with further staff training and the ongoing creation of descriptions written and recorded by trained Gallery staff that are edited by Access2Arts.</w:t>
      </w:r>
    </w:p>
    <w:p w:rsidR="00270431" w:rsidRPr="006C4D42" w:rsidRDefault="00270431" w:rsidP="00270431">
      <w:pPr>
        <w:rPr>
          <w:rFonts w:cstheme="minorHAnsi"/>
          <w:sz w:val="24"/>
          <w:szCs w:val="24"/>
        </w:rPr>
      </w:pPr>
      <w:r w:rsidRPr="006C4D42">
        <w:rPr>
          <w:rFonts w:cstheme="minorHAnsi"/>
          <w:sz w:val="24"/>
          <w:szCs w:val="24"/>
        </w:rPr>
        <w:t>This training enabled the in-house creation of audio descriptions of art works in the collection and temporary exhibitions – in 2023 we have over 100 scripts available. It also enabled the Gallery to embed audio description into programming and service delivery with described access information on the website, transcripts and recordings available on the website and on a mobile app, and delivered in tours onsite and online.</w:t>
      </w:r>
    </w:p>
    <w:p w:rsidR="00601A56" w:rsidRPr="006C4D42" w:rsidRDefault="00270431" w:rsidP="00270431">
      <w:pPr>
        <w:rPr>
          <w:rFonts w:cstheme="minorHAnsi"/>
          <w:sz w:val="24"/>
          <w:szCs w:val="24"/>
        </w:rPr>
      </w:pPr>
      <w:r w:rsidRPr="006C4D42">
        <w:rPr>
          <w:rFonts w:cstheme="minorHAnsi"/>
          <w:sz w:val="24"/>
          <w:szCs w:val="24"/>
        </w:rPr>
        <w:t>Our audio description skills inform our school programs for low vision students and group drawing activities. Feedback from online tours to both low vision and sighted participants indicated that the descriptions offered alternative perspective for sighted users, offering a positive opportunity for a slow and close-looking experience to improve their wellbeing. Gallery staff presented alongside Access2Arts at the Australian Museums and Galleries Association 2021 conference to champion the value of audio description and consultative best practice training.</w:t>
      </w:r>
    </w:p>
    <w:p w:rsidR="00A02D1E" w:rsidRPr="006C4D42" w:rsidRDefault="00A02D1E" w:rsidP="00A02D1E">
      <w:pPr>
        <w:rPr>
          <w:rFonts w:cstheme="minorHAnsi"/>
          <w:sz w:val="24"/>
          <w:szCs w:val="24"/>
        </w:rPr>
      </w:pPr>
      <w:r w:rsidRPr="006C4D42">
        <w:rPr>
          <w:rFonts w:cstheme="minorHAnsi"/>
          <w:b/>
          <w:sz w:val="24"/>
          <w:szCs w:val="24"/>
        </w:rPr>
        <w:t>Case Study 3:</w:t>
      </w:r>
      <w:r w:rsidRPr="006C4D42">
        <w:rPr>
          <w:rFonts w:cstheme="minorHAnsi"/>
          <w:sz w:val="24"/>
          <w:szCs w:val="24"/>
        </w:rPr>
        <w:t xml:space="preserve"> </w:t>
      </w:r>
      <w:r w:rsidRPr="006C4D42">
        <w:rPr>
          <w:rFonts w:cstheme="minorHAnsi"/>
          <w:b/>
          <w:bCs/>
          <w:sz w:val="24"/>
          <w:szCs w:val="24"/>
        </w:rPr>
        <w:t>Movement and Making Workshops |</w:t>
      </w:r>
      <w:r w:rsidRPr="006C4D42">
        <w:rPr>
          <w:rFonts w:cstheme="minorHAnsi"/>
          <w:sz w:val="24"/>
          <w:szCs w:val="24"/>
        </w:rPr>
        <w:t xml:space="preserve"> </w:t>
      </w:r>
      <w:r w:rsidRPr="006C4D42">
        <w:rPr>
          <w:rFonts w:cstheme="minorHAnsi"/>
          <w:b/>
          <w:bCs/>
          <w:sz w:val="24"/>
          <w:szCs w:val="24"/>
        </w:rPr>
        <w:t>Art for Hard of Hearing and d/Deaf Students</w:t>
      </w:r>
    </w:p>
    <w:p w:rsidR="00270431" w:rsidRPr="006C4D42" w:rsidRDefault="00A02D1E" w:rsidP="00A02D1E">
      <w:pPr>
        <w:rPr>
          <w:rFonts w:cstheme="minorHAnsi"/>
          <w:sz w:val="24"/>
          <w:szCs w:val="24"/>
        </w:rPr>
      </w:pPr>
      <w:r w:rsidRPr="006C4D42">
        <w:rPr>
          <w:rFonts w:cstheme="minorHAnsi"/>
          <w:bCs/>
          <w:sz w:val="24"/>
          <w:szCs w:val="24"/>
        </w:rPr>
        <w:t xml:space="preserve">‘It was great to see the kids so focused, creative and enjoying a social gathering with others who are d/Deaf.’ </w:t>
      </w:r>
      <w:r w:rsidRPr="006C4D42">
        <w:rPr>
          <w:rFonts w:cstheme="minorHAnsi"/>
          <w:sz w:val="24"/>
          <w:szCs w:val="24"/>
        </w:rPr>
        <w:t>Teacher of the Deaf</w:t>
      </w:r>
    </w:p>
    <w:p w:rsidR="00A02D1E" w:rsidRPr="006C4D42" w:rsidRDefault="00A02D1E" w:rsidP="00A02D1E">
      <w:pPr>
        <w:rPr>
          <w:rFonts w:cstheme="minorHAnsi"/>
          <w:bCs/>
          <w:sz w:val="24"/>
          <w:szCs w:val="24"/>
        </w:rPr>
      </w:pPr>
      <w:r w:rsidRPr="006C4D42">
        <w:rPr>
          <w:rFonts w:cstheme="minorHAnsi"/>
          <w:bCs/>
          <w:sz w:val="24"/>
          <w:szCs w:val="24"/>
        </w:rPr>
        <w:t>The Gallery’s movement and art making workshops specifically designed for hard of hearing and d/Deaf students and their Teachers of the Deaf provide geographically scattered children from the region with the opportunity to socialise, create and explore together.</w:t>
      </w:r>
    </w:p>
    <w:p w:rsidR="00A02D1E" w:rsidRPr="006C4D42" w:rsidRDefault="00A02D1E" w:rsidP="00A02D1E">
      <w:pPr>
        <w:rPr>
          <w:rFonts w:cstheme="minorHAnsi"/>
          <w:bCs/>
          <w:sz w:val="24"/>
          <w:szCs w:val="24"/>
        </w:rPr>
      </w:pPr>
      <w:r w:rsidRPr="006C4D42">
        <w:rPr>
          <w:rFonts w:cstheme="minorHAnsi"/>
          <w:bCs/>
          <w:sz w:val="24"/>
          <w:szCs w:val="24"/>
        </w:rPr>
        <w:t>The program’s objectives are to provide access to the Gallery’s collection, engage children in an interactive experience stimulated by portraiture, explore and encourage expressiveness through art making and performance as an extension of self, and promote social confidence and interaction with others.</w:t>
      </w:r>
    </w:p>
    <w:p w:rsidR="00A02D1E" w:rsidRPr="006C4D42" w:rsidRDefault="00A02D1E" w:rsidP="00A02D1E">
      <w:pPr>
        <w:rPr>
          <w:rFonts w:cstheme="minorHAnsi"/>
          <w:bCs/>
          <w:sz w:val="24"/>
          <w:szCs w:val="24"/>
        </w:rPr>
      </w:pPr>
      <w:r w:rsidRPr="006C4D42">
        <w:rPr>
          <w:rFonts w:cstheme="minorHAnsi"/>
          <w:bCs/>
          <w:sz w:val="24"/>
          <w:szCs w:val="24"/>
        </w:rPr>
        <w:t>Piloted in 2012, this program was originally funded by the Australian Decorative and Fine Arts Society, Canberra to develop an arts-based project that aimed to enhance community relations and develop responses to art making in young people. Experienced visual and performance artists were engaged to collaborate with Gallery staff in developing the content and to facilitate the workshops. In 2019 the Gallery partnered with Balinese puppet artists from The Super Funky Artists, focused on connecting students with diverse cultures and themes of sustainability with recycled materials being used to create and activate puppets.</w:t>
      </w:r>
    </w:p>
    <w:p w:rsidR="00A02D1E" w:rsidRPr="006C4D42" w:rsidRDefault="00A02D1E" w:rsidP="00A02D1E">
      <w:pPr>
        <w:rPr>
          <w:rFonts w:cstheme="minorHAnsi"/>
          <w:bCs/>
          <w:sz w:val="24"/>
          <w:szCs w:val="24"/>
        </w:rPr>
      </w:pPr>
      <w:r w:rsidRPr="006C4D42">
        <w:rPr>
          <w:rFonts w:cstheme="minorHAnsi"/>
          <w:bCs/>
          <w:sz w:val="24"/>
          <w:szCs w:val="24"/>
        </w:rPr>
        <w:lastRenderedPageBreak/>
        <w:t>This program won a Museums &amp; Galleries National Award, First Place in the Public Programs category in 2013 and contributed to the development of a network between the ACT Education Directorate, Teachers of the Deaf and the Gallery to ensure the sustainability in the delivery of this project.</w:t>
      </w:r>
    </w:p>
    <w:p w:rsidR="00A02D1E" w:rsidRPr="006C4D42" w:rsidRDefault="00A02D1E" w:rsidP="00A02D1E">
      <w:pPr>
        <w:rPr>
          <w:rFonts w:cstheme="minorHAnsi"/>
          <w:b/>
          <w:bCs/>
          <w:sz w:val="24"/>
          <w:szCs w:val="24"/>
        </w:rPr>
      </w:pPr>
      <w:r w:rsidRPr="006C4D42">
        <w:rPr>
          <w:rFonts w:cstheme="minorHAnsi"/>
          <w:b/>
          <w:bCs/>
          <w:sz w:val="24"/>
          <w:szCs w:val="24"/>
        </w:rPr>
        <w:t>Other highlights</w:t>
      </w:r>
    </w:p>
    <w:p w:rsidR="00A02D1E" w:rsidRPr="006C4D42" w:rsidRDefault="00A02D1E" w:rsidP="00A02D1E">
      <w:pPr>
        <w:rPr>
          <w:rFonts w:cstheme="minorHAnsi"/>
          <w:bCs/>
          <w:sz w:val="24"/>
          <w:szCs w:val="24"/>
        </w:rPr>
      </w:pPr>
      <w:r w:rsidRPr="006C4D42">
        <w:rPr>
          <w:rFonts w:cstheme="minorHAnsi"/>
          <w:bCs/>
          <w:sz w:val="24"/>
          <w:szCs w:val="24"/>
        </w:rPr>
        <w:t>Relaxed Mornings for people with sensory sensitivities occur seasonally. People can visit the Gallery before regular opening hours to view exhibitions and take part in creative activity, at a time that best suits their needs.</w:t>
      </w:r>
    </w:p>
    <w:p w:rsidR="00A02D1E" w:rsidRPr="006C4D42" w:rsidRDefault="00A02D1E" w:rsidP="00A02D1E">
      <w:pPr>
        <w:rPr>
          <w:rFonts w:cstheme="minorHAnsi"/>
          <w:bCs/>
          <w:sz w:val="24"/>
          <w:szCs w:val="24"/>
        </w:rPr>
      </w:pPr>
      <w:r w:rsidRPr="006C4D42">
        <w:rPr>
          <w:rFonts w:cstheme="minorHAnsi"/>
          <w:bCs/>
          <w:sz w:val="24"/>
          <w:szCs w:val="24"/>
        </w:rPr>
        <w:t xml:space="preserve">The Gallery celebrates International Day of People with Disability in December annually delivering audio description tours and </w:t>
      </w:r>
      <w:proofErr w:type="spellStart"/>
      <w:r w:rsidRPr="006C4D42">
        <w:rPr>
          <w:rFonts w:cstheme="minorHAnsi"/>
          <w:bCs/>
          <w:sz w:val="24"/>
          <w:szCs w:val="24"/>
        </w:rPr>
        <w:t>Auslan</w:t>
      </w:r>
      <w:proofErr w:type="spellEnd"/>
      <w:r w:rsidRPr="006C4D42">
        <w:rPr>
          <w:rFonts w:cstheme="minorHAnsi"/>
          <w:bCs/>
          <w:sz w:val="24"/>
          <w:szCs w:val="24"/>
        </w:rPr>
        <w:t xml:space="preserve">-interpreted programs. For this event we have collaborated with performers with disability to deliver dance and music programs, including ZEST dancers, On Display dancers, Liz Lea, The Deaf Butterflies Group – </w:t>
      </w:r>
      <w:proofErr w:type="spellStart"/>
      <w:r w:rsidRPr="006C4D42">
        <w:rPr>
          <w:rFonts w:cstheme="minorHAnsi"/>
          <w:bCs/>
          <w:sz w:val="24"/>
          <w:szCs w:val="24"/>
        </w:rPr>
        <w:t>DeafACT</w:t>
      </w:r>
      <w:proofErr w:type="spellEnd"/>
      <w:r w:rsidRPr="006C4D42">
        <w:rPr>
          <w:rFonts w:cstheme="minorHAnsi"/>
          <w:bCs/>
          <w:sz w:val="24"/>
          <w:szCs w:val="24"/>
        </w:rPr>
        <w:t xml:space="preserve">, </w:t>
      </w:r>
      <w:proofErr w:type="spellStart"/>
      <w:r w:rsidRPr="006C4D42">
        <w:rPr>
          <w:rFonts w:cstheme="minorHAnsi"/>
          <w:bCs/>
          <w:sz w:val="24"/>
          <w:szCs w:val="24"/>
        </w:rPr>
        <w:t>Subsdance</w:t>
      </w:r>
      <w:proofErr w:type="spellEnd"/>
      <w:r w:rsidRPr="006C4D42">
        <w:rPr>
          <w:rFonts w:cstheme="minorHAnsi"/>
          <w:bCs/>
          <w:sz w:val="24"/>
          <w:szCs w:val="24"/>
        </w:rPr>
        <w:t xml:space="preserve"> and Chameleon Collective.</w:t>
      </w:r>
    </w:p>
    <w:p w:rsidR="00A02D1E" w:rsidRPr="006C4D42" w:rsidRDefault="00A02D1E" w:rsidP="00A02D1E">
      <w:pPr>
        <w:rPr>
          <w:rFonts w:cstheme="minorHAnsi"/>
          <w:bCs/>
          <w:sz w:val="24"/>
          <w:szCs w:val="24"/>
        </w:rPr>
      </w:pPr>
      <w:r w:rsidRPr="006C4D42">
        <w:rPr>
          <w:rFonts w:cstheme="minorHAnsi"/>
          <w:bCs/>
          <w:sz w:val="24"/>
          <w:szCs w:val="24"/>
        </w:rPr>
        <w:t>The Gallery has partnered with the BOLD festival as a host venue. This annual five-day festival celebrates intercultural, inclusive and intergenerational dance. Dance programs at the Gallery celebrate the work of older and still-practicing artists to explore healthy ageing, the health impacts of creativity and the cross-generational exchange of ideas.</w:t>
      </w:r>
    </w:p>
    <w:p w:rsidR="00A02D1E" w:rsidRPr="006C4D42" w:rsidRDefault="00A02D1E" w:rsidP="00A02D1E">
      <w:pPr>
        <w:rPr>
          <w:rFonts w:cstheme="minorHAnsi"/>
          <w:bCs/>
          <w:sz w:val="24"/>
          <w:szCs w:val="24"/>
        </w:rPr>
      </w:pPr>
      <w:r w:rsidRPr="006C4D42">
        <w:rPr>
          <w:rFonts w:cstheme="minorHAnsi"/>
          <w:bCs/>
          <w:sz w:val="24"/>
          <w:szCs w:val="24"/>
        </w:rPr>
        <w:t>In collaboration with Visual Thinking Strategies (VTS™ New York), the Gallery presents critical thinking and visual literacy programs for students, adults and people living with dementia.</w:t>
      </w:r>
    </w:p>
    <w:p w:rsidR="00A02D1E" w:rsidRPr="006C4D42" w:rsidRDefault="00A02D1E" w:rsidP="00A02D1E">
      <w:pPr>
        <w:rPr>
          <w:rFonts w:cstheme="minorHAnsi"/>
          <w:bCs/>
          <w:sz w:val="24"/>
          <w:szCs w:val="24"/>
        </w:rPr>
      </w:pPr>
      <w:r w:rsidRPr="006C4D42">
        <w:rPr>
          <w:rFonts w:cstheme="minorHAnsi"/>
          <w:bCs/>
          <w:sz w:val="24"/>
          <w:szCs w:val="24"/>
        </w:rPr>
        <w:t xml:space="preserve">The development of the </w:t>
      </w:r>
      <w:proofErr w:type="gramStart"/>
      <w:r w:rsidRPr="006C4D42">
        <w:rPr>
          <w:rFonts w:cstheme="minorHAnsi"/>
          <w:bCs/>
          <w:sz w:val="24"/>
          <w:szCs w:val="24"/>
        </w:rPr>
        <w:t>In</w:t>
      </w:r>
      <w:proofErr w:type="gramEnd"/>
      <w:r w:rsidRPr="006C4D42">
        <w:rPr>
          <w:rFonts w:cstheme="minorHAnsi"/>
          <w:bCs/>
          <w:sz w:val="24"/>
          <w:szCs w:val="24"/>
        </w:rPr>
        <w:t xml:space="preserve"> their own words audio guide app began in 2018 in collaboration with the National Library </w:t>
      </w:r>
      <w:r w:rsidRPr="006C4D42">
        <w:rPr>
          <w:rFonts w:cstheme="minorHAnsi"/>
          <w:sz w:val="24"/>
          <w:szCs w:val="24"/>
        </w:rPr>
        <w:t>of Australia and the Gallery’s Digital Partner Stripy Sock,</w:t>
      </w:r>
      <w:r w:rsidRPr="006C4D42">
        <w:rPr>
          <w:rFonts w:cstheme="minorHAnsi"/>
          <w:bCs/>
          <w:sz w:val="24"/>
          <w:szCs w:val="24"/>
        </w:rPr>
        <w:t xml:space="preserve"> </w:t>
      </w:r>
      <w:r w:rsidRPr="006C4D42">
        <w:rPr>
          <w:rFonts w:cstheme="minorHAnsi"/>
          <w:sz w:val="24"/>
          <w:szCs w:val="24"/>
        </w:rPr>
        <w:t>supported by the Sidney Myer Fund. It is an audio guide with</w:t>
      </w:r>
      <w:r w:rsidRPr="006C4D42">
        <w:rPr>
          <w:rFonts w:cstheme="minorHAnsi"/>
          <w:bCs/>
          <w:sz w:val="24"/>
          <w:szCs w:val="24"/>
        </w:rPr>
        <w:t xml:space="preserve"> </w:t>
      </w:r>
      <w:r w:rsidRPr="006C4D42">
        <w:rPr>
          <w:rFonts w:cstheme="minorHAnsi"/>
          <w:sz w:val="24"/>
          <w:szCs w:val="24"/>
        </w:rPr>
        <w:t>a difference to enrich the experience of visitors, where users</w:t>
      </w:r>
      <w:r w:rsidRPr="006C4D42">
        <w:rPr>
          <w:rFonts w:cstheme="minorHAnsi"/>
          <w:bCs/>
          <w:sz w:val="24"/>
          <w:szCs w:val="24"/>
        </w:rPr>
        <w:t xml:space="preserve"> </w:t>
      </w:r>
      <w:r w:rsidRPr="006C4D42">
        <w:rPr>
          <w:rFonts w:cstheme="minorHAnsi"/>
          <w:sz w:val="24"/>
          <w:szCs w:val="24"/>
        </w:rPr>
        <w:t>can hear subjects’ and artists’ own voices, harnessed from the</w:t>
      </w:r>
      <w:r w:rsidRPr="006C4D42">
        <w:rPr>
          <w:rFonts w:cstheme="minorHAnsi"/>
          <w:bCs/>
          <w:sz w:val="24"/>
          <w:szCs w:val="24"/>
        </w:rPr>
        <w:t xml:space="preserve"> </w:t>
      </w:r>
      <w:r w:rsidRPr="006C4D42">
        <w:rPr>
          <w:rFonts w:cstheme="minorHAnsi"/>
          <w:sz w:val="24"/>
          <w:szCs w:val="24"/>
        </w:rPr>
        <w:t>Hazel de Berg audio archives, and supports visitors with low</w:t>
      </w:r>
      <w:r w:rsidRPr="006C4D42">
        <w:rPr>
          <w:rFonts w:cstheme="minorHAnsi"/>
          <w:bCs/>
          <w:sz w:val="24"/>
          <w:szCs w:val="24"/>
        </w:rPr>
        <w:t xml:space="preserve"> </w:t>
      </w:r>
      <w:r w:rsidRPr="006C4D42">
        <w:rPr>
          <w:rFonts w:cstheme="minorHAnsi"/>
          <w:sz w:val="24"/>
          <w:szCs w:val="24"/>
        </w:rPr>
        <w:t>vision or who are blind to connect with the portraits.</w:t>
      </w:r>
    </w:p>
    <w:p w:rsidR="00A02D1E" w:rsidRPr="006C4D42" w:rsidRDefault="00A02D1E" w:rsidP="00A02D1E">
      <w:pPr>
        <w:rPr>
          <w:rFonts w:cstheme="minorHAnsi"/>
          <w:sz w:val="24"/>
          <w:szCs w:val="24"/>
        </w:rPr>
      </w:pPr>
      <w:r w:rsidRPr="006C4D42">
        <w:rPr>
          <w:rFonts w:cstheme="minorHAnsi"/>
          <w:sz w:val="24"/>
          <w:szCs w:val="24"/>
        </w:rPr>
        <w:t>The Gallery delivers workshops and programs for artists working in supported studios and people with acquired brain injury and has featured the work of artists from supported studios in Portrait magazine.</w:t>
      </w:r>
    </w:p>
    <w:p w:rsidR="00A02D1E" w:rsidRPr="006C4D42" w:rsidRDefault="00A02D1E" w:rsidP="00A02D1E">
      <w:pPr>
        <w:rPr>
          <w:rFonts w:cstheme="minorHAnsi"/>
          <w:sz w:val="24"/>
          <w:szCs w:val="24"/>
        </w:rPr>
      </w:pPr>
      <w:r w:rsidRPr="006C4D42">
        <w:rPr>
          <w:rFonts w:cstheme="minorHAnsi"/>
          <w:sz w:val="24"/>
          <w:szCs w:val="24"/>
        </w:rPr>
        <w:t>The Gallery’s 2023 major contemporary art exhibition Portrait23: Identity includes the commissioning of artists with disability, and the delivery of online public programs and resources.</w:t>
      </w:r>
    </w:p>
    <w:p w:rsidR="00A02D1E" w:rsidRPr="006C4D42" w:rsidRDefault="00A02D1E" w:rsidP="00A02D1E">
      <w:pPr>
        <w:rPr>
          <w:rFonts w:cstheme="minorHAnsi"/>
          <w:sz w:val="24"/>
          <w:szCs w:val="24"/>
        </w:rPr>
      </w:pPr>
      <w:r w:rsidRPr="006C4D42">
        <w:rPr>
          <w:rFonts w:cstheme="minorHAnsi"/>
          <w:sz w:val="24"/>
          <w:szCs w:val="24"/>
        </w:rPr>
        <w:t>The Gallery is continually increasing the capability of our staff,</w:t>
      </w:r>
      <w:r w:rsidR="007E1964" w:rsidRPr="006C4D42">
        <w:rPr>
          <w:rFonts w:cstheme="minorHAnsi"/>
          <w:sz w:val="24"/>
          <w:szCs w:val="24"/>
        </w:rPr>
        <w:t xml:space="preserve"> </w:t>
      </w:r>
      <w:r w:rsidRPr="006C4D42">
        <w:rPr>
          <w:rFonts w:cstheme="minorHAnsi"/>
          <w:sz w:val="24"/>
          <w:szCs w:val="24"/>
        </w:rPr>
        <w:t>having provided various training opportunities for all staff</w:t>
      </w:r>
      <w:r w:rsidR="007E1964" w:rsidRPr="006C4D42">
        <w:rPr>
          <w:rFonts w:cstheme="minorHAnsi"/>
          <w:sz w:val="24"/>
          <w:szCs w:val="24"/>
        </w:rPr>
        <w:t xml:space="preserve"> </w:t>
      </w:r>
      <w:r w:rsidRPr="006C4D42">
        <w:rPr>
          <w:rFonts w:cstheme="minorHAnsi"/>
          <w:sz w:val="24"/>
          <w:szCs w:val="24"/>
        </w:rPr>
        <w:t>including Dementia Awareness Training, Disability Awareness</w:t>
      </w:r>
      <w:r w:rsidR="007E1964" w:rsidRPr="006C4D42">
        <w:rPr>
          <w:rFonts w:cstheme="minorHAnsi"/>
          <w:sz w:val="24"/>
          <w:szCs w:val="24"/>
        </w:rPr>
        <w:t xml:space="preserve"> </w:t>
      </w:r>
      <w:r w:rsidRPr="006C4D42">
        <w:rPr>
          <w:rFonts w:cstheme="minorHAnsi"/>
          <w:sz w:val="24"/>
          <w:szCs w:val="24"/>
        </w:rPr>
        <w:t>and</w:t>
      </w:r>
      <w:r w:rsidR="007E1964" w:rsidRPr="006C4D42">
        <w:rPr>
          <w:rFonts w:cstheme="minorHAnsi"/>
          <w:sz w:val="24"/>
          <w:szCs w:val="24"/>
        </w:rPr>
        <w:t xml:space="preserve"> </w:t>
      </w:r>
      <w:r w:rsidRPr="006C4D42">
        <w:rPr>
          <w:rFonts w:cstheme="minorHAnsi"/>
          <w:sz w:val="24"/>
          <w:szCs w:val="24"/>
        </w:rPr>
        <w:t>Accessible Exhibition Design training through Accessible</w:t>
      </w:r>
      <w:r w:rsidR="007E1964" w:rsidRPr="006C4D42">
        <w:rPr>
          <w:rFonts w:cstheme="minorHAnsi"/>
          <w:sz w:val="24"/>
          <w:szCs w:val="24"/>
        </w:rPr>
        <w:t xml:space="preserve"> </w:t>
      </w:r>
      <w:r w:rsidRPr="006C4D42">
        <w:rPr>
          <w:rFonts w:cstheme="minorHAnsi"/>
          <w:sz w:val="24"/>
          <w:szCs w:val="24"/>
        </w:rPr>
        <w:t>Arts, and participation in the SBS Inclusion program,</w:t>
      </w:r>
      <w:r w:rsidR="007E1964" w:rsidRPr="006C4D42">
        <w:rPr>
          <w:rFonts w:cstheme="minorHAnsi"/>
          <w:sz w:val="24"/>
          <w:szCs w:val="24"/>
        </w:rPr>
        <w:t xml:space="preserve"> </w:t>
      </w:r>
      <w:r w:rsidRPr="006C4D42">
        <w:rPr>
          <w:rFonts w:cstheme="minorHAnsi"/>
          <w:sz w:val="24"/>
          <w:szCs w:val="24"/>
        </w:rPr>
        <w:t>specifically the Disability module.</w:t>
      </w:r>
    </w:p>
    <w:p w:rsidR="00270431" w:rsidRPr="006C4D42" w:rsidRDefault="00A02D1E" w:rsidP="00A02D1E">
      <w:pPr>
        <w:rPr>
          <w:rFonts w:cstheme="minorHAnsi"/>
          <w:sz w:val="24"/>
          <w:szCs w:val="24"/>
        </w:rPr>
      </w:pPr>
      <w:r w:rsidRPr="006C4D42">
        <w:rPr>
          <w:rFonts w:cstheme="minorHAnsi"/>
          <w:sz w:val="24"/>
          <w:szCs w:val="24"/>
        </w:rPr>
        <w:t>The Gallery has implemented large print label guides for</w:t>
      </w:r>
      <w:r w:rsidR="007E1964" w:rsidRPr="006C4D42">
        <w:rPr>
          <w:rFonts w:cstheme="minorHAnsi"/>
          <w:sz w:val="24"/>
          <w:szCs w:val="24"/>
        </w:rPr>
        <w:t xml:space="preserve"> </w:t>
      </w:r>
      <w:r w:rsidRPr="006C4D42">
        <w:rPr>
          <w:rFonts w:cstheme="minorHAnsi"/>
          <w:sz w:val="24"/>
          <w:szCs w:val="24"/>
        </w:rPr>
        <w:t>temporary exhibitions and developed an app, Liberate the</w:t>
      </w:r>
      <w:r w:rsidR="007E1964" w:rsidRPr="006C4D42">
        <w:rPr>
          <w:rFonts w:cstheme="minorHAnsi"/>
          <w:sz w:val="24"/>
          <w:szCs w:val="24"/>
        </w:rPr>
        <w:t xml:space="preserve"> </w:t>
      </w:r>
      <w:r w:rsidRPr="006C4D42">
        <w:rPr>
          <w:rFonts w:cstheme="minorHAnsi"/>
          <w:sz w:val="24"/>
          <w:szCs w:val="24"/>
        </w:rPr>
        <w:t>labels, to enhance visitors’ experience accessing wall label</w:t>
      </w:r>
      <w:r w:rsidR="007E1964" w:rsidRPr="006C4D42">
        <w:rPr>
          <w:rFonts w:cstheme="minorHAnsi"/>
          <w:sz w:val="24"/>
          <w:szCs w:val="24"/>
        </w:rPr>
        <w:t xml:space="preserve"> </w:t>
      </w:r>
      <w:r w:rsidRPr="006C4D42">
        <w:rPr>
          <w:rFonts w:cstheme="minorHAnsi"/>
          <w:sz w:val="24"/>
          <w:szCs w:val="24"/>
        </w:rPr>
        <w:t>information in a format best suited to their individual needs.</w:t>
      </w:r>
    </w:p>
    <w:p w:rsidR="00605D93" w:rsidRPr="006C4D42" w:rsidRDefault="00605D93" w:rsidP="00A02D1E">
      <w:pPr>
        <w:rPr>
          <w:rFonts w:cstheme="minorHAnsi"/>
          <w:sz w:val="24"/>
          <w:szCs w:val="24"/>
        </w:rPr>
      </w:pPr>
    </w:p>
    <w:p w:rsidR="00605D93" w:rsidRPr="006C4D42" w:rsidRDefault="00605D93" w:rsidP="00605D93">
      <w:pPr>
        <w:rPr>
          <w:rFonts w:cstheme="minorHAnsi"/>
          <w:sz w:val="24"/>
          <w:szCs w:val="24"/>
        </w:rPr>
      </w:pPr>
      <w:r w:rsidRPr="006C4D42">
        <w:rPr>
          <w:rFonts w:cstheme="minorHAnsi"/>
          <w:b/>
          <w:sz w:val="24"/>
          <w:szCs w:val="24"/>
        </w:rPr>
        <w:t>METHODOLOGY AND CONSULTATION</w:t>
      </w:r>
    </w:p>
    <w:p w:rsidR="00605D93" w:rsidRPr="006C4D42" w:rsidRDefault="00605D93" w:rsidP="00605D93">
      <w:pPr>
        <w:rPr>
          <w:rFonts w:cstheme="minorHAnsi"/>
          <w:sz w:val="24"/>
          <w:szCs w:val="24"/>
        </w:rPr>
      </w:pPr>
      <w:r w:rsidRPr="006C4D42">
        <w:rPr>
          <w:rFonts w:cstheme="minorHAnsi"/>
          <w:sz w:val="24"/>
          <w:szCs w:val="24"/>
        </w:rPr>
        <w:t>To develop this DIAP, we collaborated with arts and disability peak body Accessible Arts who have led and informed our work. Through this process, we have engaged with staff, volunteers and a range of different external stakeholders, including people with disability, to build an ambitious and achievable DIAP.</w:t>
      </w:r>
    </w:p>
    <w:p w:rsidR="00605D93" w:rsidRPr="006C4D42" w:rsidRDefault="00605D93" w:rsidP="00605D93">
      <w:pPr>
        <w:rPr>
          <w:rFonts w:cstheme="minorHAnsi"/>
          <w:sz w:val="24"/>
          <w:szCs w:val="24"/>
        </w:rPr>
      </w:pPr>
      <w:r w:rsidRPr="006C4D42">
        <w:rPr>
          <w:rFonts w:cstheme="minorHAnsi"/>
          <w:sz w:val="24"/>
          <w:szCs w:val="24"/>
        </w:rPr>
        <w:t>The consultation phase of this DIAP’s development took place throughout 2022 and included:</w:t>
      </w:r>
    </w:p>
    <w:p w:rsidR="00605D93" w:rsidRPr="006C4D42" w:rsidRDefault="00605D93" w:rsidP="00605D93">
      <w:pPr>
        <w:pStyle w:val="ListParagraph"/>
        <w:numPr>
          <w:ilvl w:val="0"/>
          <w:numId w:val="7"/>
        </w:numPr>
        <w:rPr>
          <w:rFonts w:cstheme="minorHAnsi"/>
          <w:sz w:val="24"/>
          <w:szCs w:val="24"/>
        </w:rPr>
      </w:pPr>
      <w:r w:rsidRPr="006C4D42">
        <w:rPr>
          <w:rFonts w:cstheme="minorHAnsi"/>
          <w:sz w:val="24"/>
          <w:szCs w:val="24"/>
        </w:rPr>
        <w:t>presentations, workshops and interviews with staff from across the organisation, as well as an internal survey for staff, volunteers and the Board</w:t>
      </w:r>
    </w:p>
    <w:p w:rsidR="00605D93" w:rsidRPr="006C4D42" w:rsidRDefault="00605D93" w:rsidP="00605D93">
      <w:pPr>
        <w:pStyle w:val="ListParagraph"/>
        <w:numPr>
          <w:ilvl w:val="0"/>
          <w:numId w:val="7"/>
        </w:numPr>
        <w:rPr>
          <w:rFonts w:cstheme="minorHAnsi"/>
          <w:sz w:val="24"/>
          <w:szCs w:val="24"/>
        </w:rPr>
      </w:pPr>
      <w:r w:rsidRPr="006C4D42">
        <w:rPr>
          <w:rFonts w:cstheme="minorHAnsi"/>
          <w:sz w:val="24"/>
          <w:szCs w:val="24"/>
        </w:rPr>
        <w:t>focus groups and a survey for our external stakeholders</w:t>
      </w:r>
    </w:p>
    <w:p w:rsidR="00605D93" w:rsidRPr="006C4D42" w:rsidRDefault="00605D93" w:rsidP="00605D93">
      <w:pPr>
        <w:pStyle w:val="ListParagraph"/>
        <w:numPr>
          <w:ilvl w:val="0"/>
          <w:numId w:val="7"/>
        </w:numPr>
        <w:rPr>
          <w:rFonts w:cstheme="minorHAnsi"/>
          <w:sz w:val="24"/>
          <w:szCs w:val="24"/>
        </w:rPr>
      </w:pPr>
      <w:r w:rsidRPr="006C4D42">
        <w:rPr>
          <w:rFonts w:cstheme="minorHAnsi"/>
          <w:sz w:val="24"/>
          <w:szCs w:val="24"/>
        </w:rPr>
        <w:t xml:space="preserve">an accessible document </w:t>
      </w:r>
      <w:proofErr w:type="gramStart"/>
      <w:r w:rsidRPr="006C4D42">
        <w:rPr>
          <w:rFonts w:cstheme="minorHAnsi"/>
          <w:sz w:val="24"/>
          <w:szCs w:val="24"/>
        </w:rPr>
        <w:t>review</w:t>
      </w:r>
      <w:proofErr w:type="gramEnd"/>
    </w:p>
    <w:p w:rsidR="00605D93" w:rsidRPr="006C4D42" w:rsidRDefault="00605D93" w:rsidP="00605D93">
      <w:pPr>
        <w:pStyle w:val="ListParagraph"/>
        <w:numPr>
          <w:ilvl w:val="0"/>
          <w:numId w:val="7"/>
        </w:numPr>
        <w:rPr>
          <w:rFonts w:cstheme="minorHAnsi"/>
          <w:sz w:val="24"/>
          <w:szCs w:val="24"/>
        </w:rPr>
      </w:pPr>
      <w:r w:rsidRPr="006C4D42">
        <w:rPr>
          <w:rFonts w:cstheme="minorHAnsi"/>
          <w:sz w:val="24"/>
          <w:szCs w:val="24"/>
        </w:rPr>
        <w:t>a ‘Walk and Talk’ tour with people with lived experience of disability.</w:t>
      </w:r>
    </w:p>
    <w:p w:rsidR="00605D93" w:rsidRPr="006C4D42" w:rsidRDefault="00605D93" w:rsidP="00605D93">
      <w:pPr>
        <w:rPr>
          <w:rFonts w:cstheme="minorHAnsi"/>
          <w:sz w:val="24"/>
          <w:szCs w:val="24"/>
        </w:rPr>
      </w:pPr>
      <w:r w:rsidRPr="006C4D42">
        <w:rPr>
          <w:rFonts w:cstheme="minorHAnsi"/>
          <w:sz w:val="24"/>
          <w:szCs w:val="24"/>
        </w:rPr>
        <w:t>We believe in designing accessible programs and services with, by and for people with disability – to ensure relevance, currency and usability. We acknowledge the need for regular dialogue and consultation with people with disability from across our community, to ensure continuous improvements are made over the life of this DIAP, and look forward to engaging with more of our stakeholders over the next three years.</w:t>
      </w:r>
    </w:p>
    <w:p w:rsidR="00605D93" w:rsidRPr="006C4D42" w:rsidRDefault="00605D93" w:rsidP="00605D93">
      <w:pPr>
        <w:rPr>
          <w:rFonts w:cstheme="minorHAnsi"/>
          <w:sz w:val="24"/>
          <w:szCs w:val="24"/>
        </w:rPr>
      </w:pPr>
    </w:p>
    <w:p w:rsidR="009A0950" w:rsidRPr="006C4D42" w:rsidRDefault="009A0950">
      <w:pPr>
        <w:rPr>
          <w:rFonts w:cstheme="minorHAnsi"/>
          <w:sz w:val="24"/>
          <w:szCs w:val="24"/>
        </w:rPr>
      </w:pPr>
      <w:r w:rsidRPr="006C4D42">
        <w:rPr>
          <w:rFonts w:cstheme="minorHAnsi"/>
          <w:sz w:val="24"/>
          <w:szCs w:val="24"/>
        </w:rPr>
        <w:br w:type="page"/>
      </w:r>
    </w:p>
    <w:p w:rsidR="009A0950" w:rsidRPr="006C4D42" w:rsidRDefault="009A0950" w:rsidP="009A0950">
      <w:pPr>
        <w:rPr>
          <w:rFonts w:cstheme="minorHAnsi"/>
          <w:b/>
          <w:sz w:val="24"/>
          <w:szCs w:val="24"/>
        </w:rPr>
      </w:pPr>
      <w:r w:rsidRPr="006C4D42">
        <w:rPr>
          <w:rFonts w:cstheme="minorHAnsi"/>
          <w:b/>
          <w:sz w:val="24"/>
          <w:szCs w:val="24"/>
        </w:rPr>
        <w:lastRenderedPageBreak/>
        <w:t>DISABILITY INCLUSION ACTION PLAN 2023–25</w:t>
      </w:r>
    </w:p>
    <w:p w:rsidR="009A0950" w:rsidRPr="006C4D42" w:rsidRDefault="009A0950" w:rsidP="009A0950">
      <w:pPr>
        <w:rPr>
          <w:rFonts w:cstheme="minorHAnsi"/>
          <w:b/>
          <w:sz w:val="24"/>
          <w:szCs w:val="24"/>
        </w:rPr>
      </w:pPr>
      <w:r w:rsidRPr="006C4D42">
        <w:rPr>
          <w:rFonts w:cstheme="minorHAnsi"/>
          <w:b/>
          <w:sz w:val="24"/>
          <w:szCs w:val="24"/>
        </w:rPr>
        <w:t xml:space="preserve">Key Outcome Area 1: </w:t>
      </w:r>
      <w:r w:rsidRPr="006C4D42">
        <w:rPr>
          <w:rFonts w:cstheme="minorHAnsi"/>
          <w:b/>
          <w:bCs/>
          <w:sz w:val="24"/>
          <w:szCs w:val="24"/>
        </w:rPr>
        <w:t>Attitudes and behaviours</w:t>
      </w:r>
    </w:p>
    <w:p w:rsidR="009A0950" w:rsidRPr="006C4D42" w:rsidRDefault="009A0950" w:rsidP="009A0950">
      <w:pPr>
        <w:rPr>
          <w:rFonts w:cstheme="minorHAnsi"/>
          <w:sz w:val="24"/>
          <w:szCs w:val="24"/>
        </w:rPr>
      </w:pPr>
      <w:r w:rsidRPr="006C4D42">
        <w:rPr>
          <w:rFonts w:cstheme="minorHAnsi"/>
          <w:sz w:val="24"/>
          <w:szCs w:val="24"/>
        </w:rPr>
        <w:t>The attitudes and behaviours of the general community towards people with disability have been described as the single greatest barrier to full access and inclusion. Attitudes and behaviour permeate all aspects of life. Low expectations and negative attitudes about people with disability as artists serve as barriers to professional practice. Developing positive attitudes involves increasing awareness and changing negative perceptions over time.</w:t>
      </w:r>
    </w:p>
    <w:p w:rsidR="00605D93" w:rsidRPr="006C4D42" w:rsidRDefault="009A0950" w:rsidP="009A0950">
      <w:pPr>
        <w:rPr>
          <w:rFonts w:cstheme="minorHAnsi"/>
          <w:sz w:val="24"/>
          <w:szCs w:val="24"/>
        </w:rPr>
      </w:pPr>
      <w:r w:rsidRPr="006C4D42">
        <w:rPr>
          <w:rFonts w:cstheme="minorHAnsi"/>
          <w:sz w:val="24"/>
          <w:szCs w:val="24"/>
        </w:rPr>
        <w:t>Goal: We remove attitudinal barriers and encourage inclusive behaviours, enabling people with disability to engage and participate in Gallery activities through the reflection and continued training and revision of policy and practice.</w:t>
      </w:r>
    </w:p>
    <w:tbl>
      <w:tblPr>
        <w:tblStyle w:val="TableGrid"/>
        <w:tblW w:w="9209" w:type="dxa"/>
        <w:tblLook w:val="04A0" w:firstRow="1" w:lastRow="0" w:firstColumn="1" w:lastColumn="0" w:noHBand="0" w:noVBand="1"/>
      </w:tblPr>
      <w:tblGrid>
        <w:gridCol w:w="2981"/>
        <w:gridCol w:w="4952"/>
        <w:gridCol w:w="1276"/>
      </w:tblGrid>
      <w:tr w:rsidR="006C4D42" w:rsidRPr="006C4D42" w:rsidTr="004E5D80">
        <w:tc>
          <w:tcPr>
            <w:tcW w:w="2981" w:type="dxa"/>
          </w:tcPr>
          <w:p w:rsidR="006C4D42" w:rsidRPr="006C4D42" w:rsidRDefault="006C4D42" w:rsidP="006C4D42">
            <w:pPr>
              <w:rPr>
                <w:rFonts w:cstheme="minorHAnsi"/>
              </w:rPr>
            </w:pPr>
            <w:r w:rsidRPr="006C4D42">
              <w:rPr>
                <w:rFonts w:eastAsia="Times New Roman" w:cstheme="minorHAnsi"/>
                <w:b/>
                <w:bCs/>
                <w:color w:val="000000"/>
              </w:rPr>
              <w:t>Objective</w:t>
            </w:r>
          </w:p>
        </w:tc>
        <w:tc>
          <w:tcPr>
            <w:tcW w:w="4952" w:type="dxa"/>
          </w:tcPr>
          <w:p w:rsidR="006C4D42" w:rsidRPr="006C4D42" w:rsidRDefault="006C4D42" w:rsidP="006C4D42">
            <w:pPr>
              <w:rPr>
                <w:rFonts w:cstheme="minorHAnsi"/>
              </w:rPr>
            </w:pPr>
            <w:r w:rsidRPr="006C4D42">
              <w:rPr>
                <w:rFonts w:cstheme="minorHAnsi"/>
                <w:b/>
              </w:rPr>
              <w:t>Action</w:t>
            </w:r>
          </w:p>
        </w:tc>
        <w:tc>
          <w:tcPr>
            <w:tcW w:w="1276" w:type="dxa"/>
          </w:tcPr>
          <w:p w:rsidR="006C4D42" w:rsidRPr="006C4D42" w:rsidRDefault="006C4D42" w:rsidP="006C4D42">
            <w:pPr>
              <w:spacing w:after="120"/>
              <w:rPr>
                <w:rFonts w:cstheme="minorHAnsi"/>
                <w:b/>
              </w:rPr>
            </w:pPr>
            <w:r w:rsidRPr="006C4D42">
              <w:rPr>
                <w:rFonts w:cstheme="minorHAnsi"/>
                <w:b/>
              </w:rPr>
              <w:t>Timeline</w:t>
            </w:r>
          </w:p>
        </w:tc>
      </w:tr>
      <w:tr w:rsidR="006C4D42" w:rsidRPr="006C4D42" w:rsidTr="004E5D80">
        <w:tc>
          <w:tcPr>
            <w:tcW w:w="2981" w:type="dxa"/>
          </w:tcPr>
          <w:p w:rsidR="006C4D42" w:rsidRPr="006C4D42" w:rsidRDefault="006C4D42" w:rsidP="006C4D42">
            <w:pPr>
              <w:rPr>
                <w:rFonts w:eastAsia="Times New Roman" w:cstheme="minorHAnsi"/>
                <w:b/>
                <w:bCs/>
                <w:color w:val="000000"/>
              </w:rPr>
            </w:pPr>
            <w:r w:rsidRPr="006C4D42">
              <w:rPr>
                <w:rFonts w:eastAsia="Times New Roman" w:cstheme="minorHAnsi"/>
                <w:b/>
                <w:bCs/>
                <w:color w:val="000000"/>
              </w:rPr>
              <w:t>1.1 Leadership</w:t>
            </w:r>
          </w:p>
          <w:p w:rsidR="006C4D42" w:rsidRPr="006C4D42" w:rsidRDefault="006C4D42" w:rsidP="006C4D42">
            <w:pPr>
              <w:rPr>
                <w:rFonts w:eastAsia="Times New Roman" w:cstheme="minorHAnsi"/>
                <w:b/>
                <w:bCs/>
                <w:color w:val="000000"/>
              </w:rPr>
            </w:pPr>
            <w:r w:rsidRPr="006C4D42">
              <w:rPr>
                <w:rFonts w:eastAsia="Times New Roman" w:cstheme="minorHAnsi"/>
                <w:color w:val="000000" w:themeColor="text1"/>
              </w:rPr>
              <w:t xml:space="preserve">Ensure Gallery leadership is involved and invested </w:t>
            </w:r>
          </w:p>
        </w:tc>
        <w:tc>
          <w:tcPr>
            <w:tcW w:w="4952" w:type="dxa"/>
          </w:tcPr>
          <w:p w:rsidR="006C4D42" w:rsidRPr="006C4D42" w:rsidRDefault="006C4D42" w:rsidP="006C4D42">
            <w:pPr>
              <w:rPr>
                <w:rFonts w:eastAsia="Times New Roman" w:cstheme="minorHAnsi"/>
                <w:color w:val="000000"/>
              </w:rPr>
            </w:pPr>
            <w:r w:rsidRPr="006C4D42">
              <w:rPr>
                <w:rFonts w:eastAsia="Times New Roman" w:cstheme="minorHAnsi"/>
                <w:color w:val="000000" w:themeColor="text1"/>
              </w:rPr>
              <w:t>1.1.1 Present to the Board on disability and access, including an annual DIAP progress report.</w:t>
            </w:r>
          </w:p>
          <w:p w:rsidR="006C4D42" w:rsidRPr="006C4D42" w:rsidRDefault="006C4D42" w:rsidP="006C4D42">
            <w:pPr>
              <w:spacing w:after="120"/>
              <w:rPr>
                <w:rFonts w:cstheme="minorHAnsi"/>
              </w:rPr>
            </w:pPr>
          </w:p>
        </w:tc>
        <w:tc>
          <w:tcPr>
            <w:tcW w:w="1276" w:type="dxa"/>
          </w:tcPr>
          <w:p w:rsidR="006C4D42" w:rsidRPr="006C4D42" w:rsidRDefault="006C4D42" w:rsidP="006C4D42">
            <w:pPr>
              <w:spacing w:line="259" w:lineRule="auto"/>
              <w:rPr>
                <w:rFonts w:cstheme="minorHAnsi"/>
              </w:rPr>
            </w:pPr>
            <w:r w:rsidRPr="006C4D42">
              <w:rPr>
                <w:rFonts w:cstheme="minorHAnsi"/>
              </w:rPr>
              <w:t>Ongoing</w:t>
            </w:r>
          </w:p>
        </w:tc>
      </w:tr>
      <w:tr w:rsidR="006C4D42" w:rsidRPr="006C4D42" w:rsidTr="004E5D80">
        <w:tc>
          <w:tcPr>
            <w:tcW w:w="2981" w:type="dxa"/>
          </w:tcPr>
          <w:p w:rsidR="006C4D42" w:rsidRPr="006C4D42" w:rsidRDefault="006C4D42" w:rsidP="006C4D42">
            <w:pPr>
              <w:rPr>
                <w:rFonts w:eastAsia="Times New Roman" w:cstheme="minorHAnsi"/>
                <w:b/>
                <w:bCs/>
                <w:color w:val="000000"/>
              </w:rPr>
            </w:pPr>
            <w:r w:rsidRPr="006C4D42">
              <w:rPr>
                <w:rFonts w:cstheme="minorHAnsi"/>
                <w:b/>
                <w:bCs/>
                <w:color w:val="000000"/>
              </w:rPr>
              <w:t>1.2 Representation</w:t>
            </w:r>
          </w:p>
          <w:p w:rsidR="006C4D42" w:rsidRPr="006C4D42" w:rsidRDefault="006C4D42" w:rsidP="006C4D42">
            <w:pPr>
              <w:rPr>
                <w:rFonts w:cstheme="minorHAnsi"/>
                <w:b/>
                <w:bCs/>
                <w:color w:val="000000"/>
              </w:rPr>
            </w:pPr>
            <w:r w:rsidRPr="006C4D42">
              <w:rPr>
                <w:rFonts w:cstheme="minorHAnsi"/>
                <w:color w:val="000000"/>
              </w:rPr>
              <w:t xml:space="preserve">Ensure the Gallery reflects the society we live in </w:t>
            </w:r>
          </w:p>
        </w:tc>
        <w:tc>
          <w:tcPr>
            <w:tcW w:w="4952" w:type="dxa"/>
          </w:tcPr>
          <w:p w:rsidR="006C4D42" w:rsidRPr="006C4D42" w:rsidRDefault="006C4D42" w:rsidP="006C4D42">
            <w:pPr>
              <w:spacing w:after="240"/>
              <w:rPr>
                <w:rFonts w:cstheme="minorHAnsi"/>
                <w:color w:val="000000" w:themeColor="text1"/>
              </w:rPr>
            </w:pPr>
            <w:r w:rsidRPr="006C4D42">
              <w:rPr>
                <w:rFonts w:cstheme="minorHAnsi"/>
                <w:color w:val="000000" w:themeColor="text1"/>
              </w:rPr>
              <w:t>1.2.1 Build relationships with artists with</w:t>
            </w:r>
            <w:bookmarkStart w:id="0" w:name="_GoBack"/>
            <w:bookmarkEnd w:id="0"/>
            <w:r w:rsidRPr="006C4D42">
              <w:rPr>
                <w:rFonts w:cstheme="minorHAnsi"/>
                <w:color w:val="000000" w:themeColor="text1"/>
              </w:rPr>
              <w:t xml:space="preserve"> disability and explore opportunities to engage with artists with disability in collection development, </w:t>
            </w:r>
            <w:bookmarkStart w:id="1" w:name="_Int_AbCFjBWS"/>
            <w:r w:rsidRPr="006C4D42">
              <w:rPr>
                <w:rFonts w:cstheme="minorHAnsi"/>
                <w:color w:val="000000" w:themeColor="text1"/>
              </w:rPr>
              <w:t>exhibitions</w:t>
            </w:r>
            <w:bookmarkEnd w:id="1"/>
            <w:r w:rsidRPr="006C4D42">
              <w:rPr>
                <w:rFonts w:cstheme="minorHAnsi"/>
                <w:color w:val="000000" w:themeColor="text1"/>
              </w:rPr>
              <w:t xml:space="preserve"> and programs.</w:t>
            </w:r>
          </w:p>
          <w:p w:rsidR="006C4D42" w:rsidRPr="006C4D42" w:rsidRDefault="006C4D42" w:rsidP="006C4D42">
            <w:pPr>
              <w:spacing w:after="240"/>
              <w:rPr>
                <w:rFonts w:cstheme="minorHAnsi"/>
                <w:color w:val="000000"/>
              </w:rPr>
            </w:pPr>
            <w:r w:rsidRPr="006C4D42">
              <w:rPr>
                <w:rFonts w:cstheme="minorHAnsi"/>
                <w:color w:val="000000" w:themeColor="text1"/>
              </w:rPr>
              <w:t xml:space="preserve">1.2.2 Increase representation of people with disability across the collection, marketing collateral, social </w:t>
            </w:r>
            <w:bookmarkStart w:id="2" w:name="_Int_2EPftHlb"/>
            <w:r w:rsidRPr="006C4D42">
              <w:rPr>
                <w:rFonts w:cstheme="minorHAnsi"/>
                <w:color w:val="000000" w:themeColor="text1"/>
              </w:rPr>
              <w:t>media</w:t>
            </w:r>
            <w:bookmarkEnd w:id="2"/>
            <w:r w:rsidRPr="006C4D42">
              <w:rPr>
                <w:rFonts w:cstheme="minorHAnsi"/>
                <w:color w:val="000000" w:themeColor="text1"/>
              </w:rPr>
              <w:t xml:space="preserve"> and website.</w:t>
            </w:r>
          </w:p>
        </w:tc>
        <w:tc>
          <w:tcPr>
            <w:tcW w:w="1276" w:type="dxa"/>
          </w:tcPr>
          <w:p w:rsidR="006C4D42" w:rsidRPr="006C4D42" w:rsidRDefault="006C4D42" w:rsidP="006C4D42">
            <w:pPr>
              <w:spacing w:after="120"/>
              <w:rPr>
                <w:rFonts w:cstheme="minorHAnsi"/>
              </w:rPr>
            </w:pPr>
            <w:r w:rsidRPr="006C4D42">
              <w:rPr>
                <w:rFonts w:cstheme="minorHAnsi"/>
              </w:rPr>
              <w:t>Ongoing</w:t>
            </w:r>
          </w:p>
          <w:p w:rsidR="006C4D42" w:rsidRPr="006C4D42" w:rsidRDefault="006C4D42" w:rsidP="006C4D42">
            <w:pPr>
              <w:spacing w:after="120"/>
              <w:rPr>
                <w:rFonts w:cstheme="minorHAnsi"/>
              </w:rPr>
            </w:pPr>
          </w:p>
          <w:p w:rsidR="006C4D42" w:rsidRPr="006C4D42" w:rsidRDefault="006C4D42" w:rsidP="006C4D42">
            <w:pPr>
              <w:spacing w:after="120"/>
              <w:rPr>
                <w:rFonts w:cstheme="minorHAnsi"/>
              </w:rPr>
            </w:pPr>
          </w:p>
          <w:p w:rsidR="006C4D42" w:rsidRPr="006C4D42" w:rsidRDefault="006C4D42" w:rsidP="006C4D42">
            <w:pPr>
              <w:spacing w:after="120"/>
              <w:rPr>
                <w:rFonts w:cstheme="minorHAnsi"/>
              </w:rPr>
            </w:pPr>
            <w:r w:rsidRPr="006C4D42">
              <w:rPr>
                <w:rFonts w:cstheme="minorHAnsi"/>
              </w:rPr>
              <w:t>2023</w:t>
            </w:r>
          </w:p>
        </w:tc>
      </w:tr>
      <w:tr w:rsidR="006C4D42" w:rsidRPr="006C4D42" w:rsidTr="004E5D80">
        <w:tc>
          <w:tcPr>
            <w:tcW w:w="2981" w:type="dxa"/>
          </w:tcPr>
          <w:p w:rsidR="006C4D42" w:rsidRPr="006C4D42" w:rsidRDefault="006C4D42" w:rsidP="006C4D42">
            <w:pPr>
              <w:spacing w:after="160" w:line="259" w:lineRule="auto"/>
              <w:rPr>
                <w:rFonts w:cstheme="minorHAnsi"/>
                <w:color w:val="000000"/>
              </w:rPr>
            </w:pPr>
            <w:r w:rsidRPr="006C4D42">
              <w:rPr>
                <w:rFonts w:cstheme="minorHAnsi"/>
                <w:b/>
                <w:bCs/>
                <w:color w:val="000000" w:themeColor="text1"/>
              </w:rPr>
              <w:t>1.3 Staff confidence and competence</w:t>
            </w:r>
          </w:p>
          <w:p w:rsidR="006C4D42" w:rsidRPr="006C4D42" w:rsidRDefault="006C4D42" w:rsidP="006C4D42">
            <w:pPr>
              <w:rPr>
                <w:rFonts w:cstheme="minorHAnsi"/>
                <w:color w:val="000000"/>
              </w:rPr>
            </w:pPr>
            <w:r w:rsidRPr="006C4D42">
              <w:rPr>
                <w:rFonts w:cstheme="minorHAnsi"/>
                <w:color w:val="000000"/>
              </w:rPr>
              <w:t xml:space="preserve">Build staff skills and understanding of disability and accessibility </w:t>
            </w:r>
          </w:p>
        </w:tc>
        <w:tc>
          <w:tcPr>
            <w:tcW w:w="4952" w:type="dxa"/>
          </w:tcPr>
          <w:p w:rsidR="006C4D42" w:rsidRPr="006C4D42" w:rsidRDefault="006C4D42" w:rsidP="006C4D42">
            <w:pPr>
              <w:spacing w:after="240"/>
              <w:rPr>
                <w:rFonts w:cstheme="minorHAnsi"/>
                <w:color w:val="000000"/>
              </w:rPr>
            </w:pPr>
            <w:r w:rsidRPr="006C4D42">
              <w:rPr>
                <w:rFonts w:cstheme="minorHAnsi"/>
                <w:color w:val="000000" w:themeColor="text1"/>
              </w:rPr>
              <w:t xml:space="preserve">1.3.1 Mark annual days/events relating to disability with engagement activities for all staff. </w:t>
            </w:r>
          </w:p>
          <w:p w:rsidR="006C4D42" w:rsidRPr="006C4D42" w:rsidRDefault="006C4D42" w:rsidP="006C4D42">
            <w:pPr>
              <w:spacing w:after="240"/>
              <w:rPr>
                <w:rFonts w:cstheme="minorHAnsi"/>
                <w:color w:val="000000"/>
              </w:rPr>
            </w:pPr>
            <w:r w:rsidRPr="006C4D42">
              <w:rPr>
                <w:rFonts w:cstheme="minorHAnsi"/>
                <w:color w:val="000000" w:themeColor="text1"/>
              </w:rPr>
              <w:t>1.3.2 Provide Disability Awareness and/or Inclusion training to staff on induction and refresher training every 2</w:t>
            </w:r>
            <w:r w:rsidRPr="006C4D42">
              <w:rPr>
                <w:rFonts w:cstheme="minorHAnsi"/>
                <w:bCs/>
                <w:color w:val="000000" w:themeColor="text1"/>
              </w:rPr>
              <w:t>–</w:t>
            </w:r>
            <w:r w:rsidRPr="006C4D42">
              <w:rPr>
                <w:rFonts w:cstheme="minorHAnsi"/>
                <w:color w:val="000000" w:themeColor="text1"/>
              </w:rPr>
              <w:t xml:space="preserve">3 years. </w:t>
            </w:r>
          </w:p>
          <w:p w:rsidR="006C4D42" w:rsidRPr="006C4D42" w:rsidRDefault="006C4D42" w:rsidP="006C4D42">
            <w:pPr>
              <w:spacing w:after="240"/>
              <w:rPr>
                <w:rFonts w:cstheme="minorHAnsi"/>
                <w:color w:val="000000" w:themeColor="text1"/>
              </w:rPr>
            </w:pPr>
            <w:r w:rsidRPr="006C4D42">
              <w:rPr>
                <w:rFonts w:cstheme="minorHAnsi"/>
                <w:color w:val="000000" w:themeColor="text1"/>
              </w:rPr>
              <w:t xml:space="preserve">1.3.3 Provide opportunities for Public Facing staff to undertake bespoke training. </w:t>
            </w:r>
          </w:p>
        </w:tc>
        <w:tc>
          <w:tcPr>
            <w:tcW w:w="1276" w:type="dxa"/>
          </w:tcPr>
          <w:p w:rsidR="006C4D42" w:rsidRPr="006C4D42" w:rsidRDefault="006C4D42" w:rsidP="006C4D42">
            <w:pPr>
              <w:pStyle w:val="ColorfulShading-Accent31"/>
              <w:spacing w:after="120" w:line="240" w:lineRule="auto"/>
              <w:ind w:left="0"/>
              <w:rPr>
                <w:rFonts w:asciiTheme="minorHAnsi" w:hAnsiTheme="minorHAnsi" w:cstheme="minorHAnsi"/>
              </w:rPr>
            </w:pPr>
            <w:r w:rsidRPr="006C4D42">
              <w:rPr>
                <w:rFonts w:asciiTheme="minorHAnsi" w:hAnsiTheme="minorHAnsi" w:cstheme="minorHAnsi"/>
              </w:rPr>
              <w:t>Ongoing</w:t>
            </w:r>
          </w:p>
          <w:p w:rsidR="006C4D42" w:rsidRPr="006C4D42" w:rsidRDefault="006C4D42" w:rsidP="006C4D42">
            <w:pPr>
              <w:pStyle w:val="ColorfulShading-Accent31"/>
              <w:spacing w:after="120" w:line="240" w:lineRule="auto"/>
              <w:ind w:left="0"/>
              <w:contextualSpacing w:val="0"/>
              <w:rPr>
                <w:rFonts w:asciiTheme="minorHAnsi" w:hAnsiTheme="minorHAnsi" w:cstheme="minorHAnsi"/>
              </w:rPr>
            </w:pPr>
          </w:p>
          <w:p w:rsidR="006C4D42" w:rsidRPr="006C4D42" w:rsidRDefault="006C4D42" w:rsidP="006C4D42">
            <w:pPr>
              <w:pStyle w:val="ColorfulShading-Accent31"/>
              <w:spacing w:after="120" w:line="240" w:lineRule="auto"/>
              <w:ind w:left="0"/>
              <w:contextualSpacing w:val="0"/>
              <w:rPr>
                <w:rFonts w:asciiTheme="minorHAnsi" w:hAnsiTheme="minorHAnsi" w:cstheme="minorHAnsi"/>
              </w:rPr>
            </w:pPr>
          </w:p>
          <w:p w:rsidR="006C4D42" w:rsidRPr="006C4D42" w:rsidRDefault="006C4D42" w:rsidP="006C4D42">
            <w:pPr>
              <w:pStyle w:val="ColorfulShading-Accent31"/>
              <w:spacing w:after="120" w:line="240" w:lineRule="auto"/>
              <w:ind w:left="0"/>
              <w:contextualSpacing w:val="0"/>
              <w:rPr>
                <w:rFonts w:asciiTheme="minorHAnsi" w:hAnsiTheme="minorHAnsi" w:cstheme="minorHAnsi"/>
              </w:rPr>
            </w:pPr>
            <w:r w:rsidRPr="006C4D42">
              <w:rPr>
                <w:rFonts w:asciiTheme="minorHAnsi" w:hAnsiTheme="minorHAnsi" w:cstheme="minorHAnsi"/>
              </w:rPr>
              <w:t>Ongoing</w:t>
            </w:r>
          </w:p>
          <w:p w:rsidR="006C4D42" w:rsidRPr="006C4D42" w:rsidRDefault="006C4D42" w:rsidP="006C4D42">
            <w:pPr>
              <w:pStyle w:val="ColorfulShading-Accent31"/>
              <w:spacing w:after="120" w:line="240" w:lineRule="auto"/>
              <w:ind w:left="0"/>
              <w:contextualSpacing w:val="0"/>
              <w:rPr>
                <w:rFonts w:asciiTheme="minorHAnsi" w:hAnsiTheme="minorHAnsi" w:cstheme="minorHAnsi"/>
              </w:rPr>
            </w:pPr>
          </w:p>
          <w:p w:rsidR="006C4D42" w:rsidRPr="006C4D42" w:rsidRDefault="006C4D42" w:rsidP="006C4D42">
            <w:pPr>
              <w:pStyle w:val="ColorfulShading-Accent31"/>
              <w:spacing w:after="120" w:line="240" w:lineRule="auto"/>
              <w:ind w:left="0"/>
              <w:rPr>
                <w:rFonts w:asciiTheme="minorHAnsi" w:hAnsiTheme="minorHAnsi" w:cstheme="minorHAnsi"/>
              </w:rPr>
            </w:pPr>
            <w:r w:rsidRPr="006C4D42">
              <w:rPr>
                <w:rFonts w:asciiTheme="minorHAnsi" w:hAnsiTheme="minorHAnsi" w:cstheme="minorHAnsi"/>
              </w:rPr>
              <w:t>Ongoing</w:t>
            </w:r>
          </w:p>
          <w:p w:rsidR="006C4D42" w:rsidRPr="006C4D42" w:rsidRDefault="006C4D42" w:rsidP="006C4D42">
            <w:pPr>
              <w:pStyle w:val="ColorfulShading-Accent31"/>
              <w:spacing w:after="120" w:line="240" w:lineRule="auto"/>
              <w:ind w:left="0"/>
              <w:rPr>
                <w:rFonts w:asciiTheme="minorHAnsi" w:hAnsiTheme="minorHAnsi" w:cstheme="minorHAnsi"/>
              </w:rPr>
            </w:pPr>
          </w:p>
        </w:tc>
      </w:tr>
      <w:tr w:rsidR="006C4D42" w:rsidRPr="006C4D42" w:rsidTr="004E5D80">
        <w:tc>
          <w:tcPr>
            <w:tcW w:w="2981" w:type="dxa"/>
          </w:tcPr>
          <w:p w:rsidR="006C4D42" w:rsidRPr="006C4D42" w:rsidRDefault="006C4D42" w:rsidP="006C4D42">
            <w:pPr>
              <w:spacing w:after="160" w:line="259" w:lineRule="auto"/>
              <w:rPr>
                <w:rFonts w:cstheme="minorHAnsi"/>
                <w:color w:val="000000"/>
              </w:rPr>
            </w:pPr>
            <w:r w:rsidRPr="006C4D42">
              <w:rPr>
                <w:rFonts w:cstheme="minorHAnsi"/>
                <w:b/>
                <w:bCs/>
                <w:color w:val="000000" w:themeColor="text1"/>
              </w:rPr>
              <w:t>1.4 Front of House</w:t>
            </w:r>
          </w:p>
          <w:p w:rsidR="006C4D42" w:rsidRPr="006C4D42" w:rsidRDefault="006C4D42" w:rsidP="006C4D42">
            <w:pPr>
              <w:rPr>
                <w:rFonts w:cstheme="minorHAnsi"/>
                <w:color w:val="000000"/>
              </w:rPr>
            </w:pPr>
            <w:r w:rsidRPr="006C4D42">
              <w:rPr>
                <w:rFonts w:cstheme="minorHAnsi"/>
                <w:color w:val="000000" w:themeColor="text1"/>
              </w:rPr>
              <w:t xml:space="preserve">Ensure Front of House staff can engage with a diverse audience </w:t>
            </w:r>
          </w:p>
        </w:tc>
        <w:tc>
          <w:tcPr>
            <w:tcW w:w="4952" w:type="dxa"/>
          </w:tcPr>
          <w:p w:rsidR="006C4D42" w:rsidRPr="006C4D42" w:rsidRDefault="006C4D42" w:rsidP="006C4D42">
            <w:pPr>
              <w:rPr>
                <w:rFonts w:cstheme="minorHAnsi"/>
                <w:color w:val="000000"/>
              </w:rPr>
            </w:pPr>
            <w:r w:rsidRPr="006C4D42">
              <w:rPr>
                <w:rFonts w:cstheme="minorHAnsi"/>
                <w:color w:val="000000" w:themeColor="text1"/>
              </w:rPr>
              <w:t xml:space="preserve">1.4.1 Include </w:t>
            </w:r>
            <w:proofErr w:type="spellStart"/>
            <w:r w:rsidRPr="006C4D42">
              <w:rPr>
                <w:rFonts w:cstheme="minorHAnsi"/>
                <w:color w:val="000000" w:themeColor="text1"/>
              </w:rPr>
              <w:t>Auslan</w:t>
            </w:r>
            <w:proofErr w:type="spellEnd"/>
            <w:r w:rsidRPr="006C4D42">
              <w:rPr>
                <w:rFonts w:cstheme="minorHAnsi"/>
                <w:color w:val="000000" w:themeColor="text1"/>
              </w:rPr>
              <w:t xml:space="preserve"> skills as desirable expertise in position descriptions for Public Facing staff. </w:t>
            </w:r>
          </w:p>
          <w:p w:rsidR="006C4D42" w:rsidRPr="006C4D42" w:rsidRDefault="006C4D42" w:rsidP="006C4D42">
            <w:pPr>
              <w:rPr>
                <w:rFonts w:cstheme="minorHAnsi"/>
                <w:color w:val="000000" w:themeColor="text1"/>
              </w:rPr>
            </w:pPr>
          </w:p>
          <w:p w:rsidR="006C4D42" w:rsidRPr="006C4D42" w:rsidRDefault="006C4D42" w:rsidP="006C4D42">
            <w:pPr>
              <w:rPr>
                <w:rFonts w:cstheme="minorHAnsi"/>
                <w:color w:val="000000"/>
              </w:rPr>
            </w:pPr>
            <w:r w:rsidRPr="006C4D42">
              <w:rPr>
                <w:rFonts w:cstheme="minorHAnsi"/>
                <w:color w:val="000000" w:themeColor="text1"/>
              </w:rPr>
              <w:t xml:space="preserve">1.4.2 Provide visitors requiring backpacks in the Gallery for medical reasons with an identifiable bag tag. </w:t>
            </w:r>
          </w:p>
        </w:tc>
        <w:tc>
          <w:tcPr>
            <w:tcW w:w="1276" w:type="dxa"/>
          </w:tcPr>
          <w:p w:rsidR="006C4D42" w:rsidRPr="006C4D42" w:rsidRDefault="006C4D42" w:rsidP="006C4D42">
            <w:pPr>
              <w:pStyle w:val="ColorfulShading-Accent31"/>
              <w:spacing w:after="120" w:line="240" w:lineRule="auto"/>
              <w:ind w:left="0"/>
              <w:rPr>
                <w:rFonts w:asciiTheme="minorHAnsi" w:hAnsiTheme="minorHAnsi" w:cstheme="minorHAnsi"/>
              </w:rPr>
            </w:pPr>
            <w:r w:rsidRPr="006C4D42">
              <w:rPr>
                <w:rFonts w:asciiTheme="minorHAnsi" w:hAnsiTheme="minorHAnsi" w:cstheme="minorHAnsi"/>
              </w:rPr>
              <w:t>2024</w:t>
            </w:r>
          </w:p>
          <w:p w:rsidR="006C4D42" w:rsidRPr="006C4D42" w:rsidRDefault="006C4D42" w:rsidP="006C4D42">
            <w:pPr>
              <w:pStyle w:val="ColorfulShading-Accent31"/>
              <w:spacing w:after="120" w:line="240" w:lineRule="auto"/>
              <w:ind w:left="0"/>
              <w:contextualSpacing w:val="0"/>
              <w:rPr>
                <w:rFonts w:asciiTheme="minorHAnsi" w:hAnsiTheme="minorHAnsi" w:cstheme="minorHAnsi"/>
              </w:rPr>
            </w:pPr>
          </w:p>
          <w:p w:rsidR="006C4D42" w:rsidRPr="006C4D42" w:rsidRDefault="006C4D42" w:rsidP="006C4D42">
            <w:pPr>
              <w:pStyle w:val="ColorfulShading-Accent31"/>
              <w:spacing w:after="120" w:line="240" w:lineRule="auto"/>
              <w:ind w:left="0"/>
              <w:rPr>
                <w:rFonts w:asciiTheme="minorHAnsi" w:hAnsiTheme="minorHAnsi" w:cstheme="minorHAnsi"/>
              </w:rPr>
            </w:pPr>
            <w:r w:rsidRPr="006C4D42">
              <w:rPr>
                <w:rFonts w:asciiTheme="minorHAnsi" w:hAnsiTheme="minorHAnsi" w:cstheme="minorHAnsi"/>
              </w:rPr>
              <w:t>Ongoing</w:t>
            </w:r>
          </w:p>
        </w:tc>
      </w:tr>
      <w:tr w:rsidR="006C4D42" w:rsidRPr="006C4D42" w:rsidTr="004E5D80">
        <w:tc>
          <w:tcPr>
            <w:tcW w:w="2981" w:type="dxa"/>
          </w:tcPr>
          <w:p w:rsidR="006C4D42" w:rsidRPr="006C4D42" w:rsidRDefault="006C4D42" w:rsidP="006C4D42">
            <w:pPr>
              <w:spacing w:after="160" w:line="259" w:lineRule="auto"/>
              <w:rPr>
                <w:rFonts w:cstheme="minorHAnsi"/>
                <w:b/>
                <w:bCs/>
                <w:color w:val="000000"/>
              </w:rPr>
            </w:pPr>
            <w:r w:rsidRPr="006C4D42">
              <w:rPr>
                <w:rFonts w:cstheme="minorHAnsi"/>
                <w:b/>
                <w:bCs/>
                <w:color w:val="000000" w:themeColor="text1"/>
              </w:rPr>
              <w:t xml:space="preserve">1.5 Disability expertise </w:t>
            </w:r>
          </w:p>
          <w:p w:rsidR="006C4D42" w:rsidRPr="006C4D42" w:rsidRDefault="006C4D42" w:rsidP="006C4D42">
            <w:pPr>
              <w:rPr>
                <w:rFonts w:cstheme="minorHAnsi"/>
                <w:color w:val="000000"/>
              </w:rPr>
            </w:pPr>
            <w:r w:rsidRPr="006C4D42">
              <w:rPr>
                <w:rFonts w:cstheme="minorHAnsi"/>
                <w:color w:val="000000"/>
              </w:rPr>
              <w:t>Utilise internal and external disability expertise to implement and monitor the DIAP</w:t>
            </w:r>
          </w:p>
        </w:tc>
        <w:tc>
          <w:tcPr>
            <w:tcW w:w="4952" w:type="dxa"/>
          </w:tcPr>
          <w:p w:rsidR="006C4D42" w:rsidRPr="006C4D42" w:rsidRDefault="006C4D42" w:rsidP="006C4D42">
            <w:pPr>
              <w:rPr>
                <w:rFonts w:cstheme="minorHAnsi"/>
                <w:color w:val="000000"/>
              </w:rPr>
            </w:pPr>
            <w:r w:rsidRPr="006C4D42">
              <w:rPr>
                <w:rFonts w:cstheme="minorHAnsi"/>
                <w:color w:val="000000" w:themeColor="text1"/>
              </w:rPr>
              <w:t xml:space="preserve">1.5.1 Maintain the internal DIAP Working Group to monitor DIAP delivery. </w:t>
            </w:r>
          </w:p>
          <w:p w:rsidR="006C4D42" w:rsidRPr="006C4D42" w:rsidRDefault="006C4D42" w:rsidP="006C4D42">
            <w:pPr>
              <w:rPr>
                <w:rFonts w:cstheme="minorHAnsi"/>
                <w:color w:val="000000" w:themeColor="text1"/>
              </w:rPr>
            </w:pPr>
          </w:p>
          <w:p w:rsidR="006C4D42" w:rsidRPr="006C4D42" w:rsidRDefault="006C4D42" w:rsidP="006C4D42">
            <w:pPr>
              <w:rPr>
                <w:rFonts w:cstheme="minorHAnsi"/>
                <w:color w:val="000000"/>
              </w:rPr>
            </w:pPr>
            <w:r w:rsidRPr="006C4D42">
              <w:rPr>
                <w:rFonts w:cstheme="minorHAnsi"/>
                <w:color w:val="000000" w:themeColor="text1"/>
              </w:rPr>
              <w:t xml:space="preserve">1.5.2 Re-establish an external Disability Advisory Group, consisting of community members with expertise or lived experience of disability. Utilise other disability expertise as required. </w:t>
            </w:r>
          </w:p>
          <w:p w:rsidR="006C4D42" w:rsidRPr="006C4D42" w:rsidRDefault="006C4D42" w:rsidP="006C4D42">
            <w:pPr>
              <w:rPr>
                <w:rFonts w:cstheme="minorHAnsi"/>
                <w:color w:val="000000"/>
              </w:rPr>
            </w:pPr>
          </w:p>
        </w:tc>
        <w:tc>
          <w:tcPr>
            <w:tcW w:w="1276" w:type="dxa"/>
          </w:tcPr>
          <w:p w:rsidR="006C4D42" w:rsidRPr="006C4D42" w:rsidRDefault="006C4D42" w:rsidP="006C4D42">
            <w:pPr>
              <w:pStyle w:val="ColorfulShading-Accent31"/>
              <w:spacing w:after="120" w:line="240" w:lineRule="auto"/>
              <w:ind w:left="0"/>
              <w:rPr>
                <w:rFonts w:asciiTheme="minorHAnsi" w:hAnsiTheme="minorHAnsi" w:cstheme="minorHAnsi"/>
              </w:rPr>
            </w:pPr>
            <w:r w:rsidRPr="006C4D42">
              <w:rPr>
                <w:rFonts w:asciiTheme="minorHAnsi" w:hAnsiTheme="minorHAnsi" w:cstheme="minorHAnsi"/>
              </w:rPr>
              <w:lastRenderedPageBreak/>
              <w:t>Ongoing</w:t>
            </w:r>
          </w:p>
          <w:p w:rsidR="006C4D42" w:rsidRPr="006C4D42" w:rsidRDefault="006C4D42" w:rsidP="006C4D42">
            <w:pPr>
              <w:pStyle w:val="ColorfulShading-Accent31"/>
              <w:spacing w:after="120" w:line="240" w:lineRule="auto"/>
              <w:ind w:left="0"/>
              <w:contextualSpacing w:val="0"/>
              <w:rPr>
                <w:rFonts w:asciiTheme="minorHAnsi" w:hAnsiTheme="minorHAnsi" w:cstheme="minorHAnsi"/>
              </w:rPr>
            </w:pPr>
          </w:p>
          <w:p w:rsidR="006C4D42" w:rsidRPr="006C4D42" w:rsidRDefault="006C4D42" w:rsidP="006C4D42">
            <w:pPr>
              <w:pStyle w:val="ColorfulShading-Accent31"/>
              <w:spacing w:after="120" w:line="240" w:lineRule="auto"/>
              <w:ind w:left="0"/>
              <w:contextualSpacing w:val="0"/>
              <w:rPr>
                <w:rFonts w:asciiTheme="minorHAnsi" w:hAnsiTheme="minorHAnsi" w:cstheme="minorHAnsi"/>
              </w:rPr>
            </w:pPr>
            <w:r w:rsidRPr="006C4D42">
              <w:rPr>
                <w:rFonts w:asciiTheme="minorHAnsi" w:hAnsiTheme="minorHAnsi" w:cstheme="minorHAnsi"/>
              </w:rPr>
              <w:t>2023</w:t>
            </w:r>
          </w:p>
          <w:p w:rsidR="006C4D42" w:rsidRPr="006C4D42" w:rsidRDefault="006C4D42" w:rsidP="006C4D42">
            <w:pPr>
              <w:pStyle w:val="ColorfulShading-Accent31"/>
              <w:spacing w:after="120" w:line="240" w:lineRule="auto"/>
              <w:ind w:left="0"/>
              <w:rPr>
                <w:rFonts w:asciiTheme="minorHAnsi" w:hAnsiTheme="minorHAnsi" w:cstheme="minorHAnsi"/>
              </w:rPr>
            </w:pPr>
          </w:p>
        </w:tc>
      </w:tr>
      <w:tr w:rsidR="006C4D42" w:rsidRPr="006C4D42" w:rsidTr="004E5D80">
        <w:tc>
          <w:tcPr>
            <w:tcW w:w="2981" w:type="dxa"/>
          </w:tcPr>
          <w:p w:rsidR="006C4D42" w:rsidRPr="006C4D42" w:rsidRDefault="006C4D42" w:rsidP="006C4D42">
            <w:pPr>
              <w:spacing w:after="160" w:line="259" w:lineRule="auto"/>
              <w:rPr>
                <w:rFonts w:cstheme="minorHAnsi"/>
                <w:b/>
                <w:bCs/>
                <w:color w:val="000000"/>
              </w:rPr>
            </w:pPr>
            <w:r w:rsidRPr="006C4D42">
              <w:rPr>
                <w:rFonts w:cstheme="minorHAnsi"/>
                <w:b/>
                <w:bCs/>
                <w:color w:val="000000" w:themeColor="text1"/>
              </w:rPr>
              <w:t>1.6 Continuous learning and improvement</w:t>
            </w:r>
          </w:p>
          <w:p w:rsidR="006C4D42" w:rsidRPr="006C4D42" w:rsidRDefault="006C4D42" w:rsidP="006C4D42">
            <w:pPr>
              <w:rPr>
                <w:rFonts w:cstheme="minorHAnsi"/>
                <w:b/>
                <w:bCs/>
                <w:color w:val="000000"/>
              </w:rPr>
            </w:pPr>
            <w:r w:rsidRPr="006C4D42">
              <w:rPr>
                <w:rFonts w:cstheme="minorHAnsi"/>
                <w:color w:val="000000"/>
              </w:rPr>
              <w:t>Continue to build knowledge and skills around access and inclusion</w:t>
            </w:r>
          </w:p>
        </w:tc>
        <w:tc>
          <w:tcPr>
            <w:tcW w:w="4952" w:type="dxa"/>
          </w:tcPr>
          <w:p w:rsidR="006C4D42" w:rsidRPr="006C4D42" w:rsidRDefault="006C4D42" w:rsidP="006C4D42">
            <w:pPr>
              <w:rPr>
                <w:rFonts w:cstheme="minorHAnsi"/>
                <w:color w:val="000000"/>
              </w:rPr>
            </w:pPr>
            <w:r w:rsidRPr="006C4D42">
              <w:rPr>
                <w:rFonts w:cstheme="minorHAnsi"/>
                <w:color w:val="000000" w:themeColor="text1"/>
              </w:rPr>
              <w:t>1.6.1 Ensure staff are supported to engage in professional development opportunities.</w:t>
            </w:r>
          </w:p>
          <w:p w:rsidR="006C4D42" w:rsidRPr="006C4D42" w:rsidRDefault="006C4D42" w:rsidP="006C4D42">
            <w:pPr>
              <w:rPr>
                <w:rFonts w:cstheme="minorHAnsi"/>
                <w:color w:val="000000" w:themeColor="text1"/>
              </w:rPr>
            </w:pPr>
          </w:p>
          <w:p w:rsidR="006C4D42" w:rsidRPr="006C4D42" w:rsidRDefault="006C4D42" w:rsidP="006C4D42">
            <w:pPr>
              <w:rPr>
                <w:rFonts w:cstheme="minorHAnsi"/>
                <w:color w:val="000000"/>
              </w:rPr>
            </w:pPr>
            <w:r w:rsidRPr="006C4D42">
              <w:rPr>
                <w:rFonts w:cstheme="minorHAnsi"/>
                <w:color w:val="000000" w:themeColor="text1"/>
              </w:rPr>
              <w:t xml:space="preserve">1.6.2 Stay updated with current access advancements within and outside the arts sector and communicate to relevant staff. </w:t>
            </w:r>
            <w:r w:rsidRPr="006C4D42">
              <w:rPr>
                <w:rFonts w:cstheme="minorHAnsi"/>
                <w:color w:val="000000"/>
              </w:rPr>
              <w:t xml:space="preserve"> </w:t>
            </w:r>
          </w:p>
          <w:p w:rsidR="006C4D42" w:rsidRPr="006C4D42" w:rsidRDefault="006C4D42" w:rsidP="006C4D42">
            <w:pPr>
              <w:rPr>
                <w:rFonts w:cstheme="minorHAnsi"/>
                <w:color w:val="000000" w:themeColor="text1"/>
              </w:rPr>
            </w:pPr>
          </w:p>
          <w:p w:rsidR="006C4D42" w:rsidRPr="006C4D42" w:rsidRDefault="006C4D42" w:rsidP="006C4D42">
            <w:pPr>
              <w:rPr>
                <w:rFonts w:cstheme="minorHAnsi"/>
                <w:color w:val="000000"/>
              </w:rPr>
            </w:pPr>
            <w:r w:rsidRPr="006C4D42">
              <w:rPr>
                <w:rFonts w:cstheme="minorHAnsi"/>
                <w:color w:val="000000" w:themeColor="text1"/>
              </w:rPr>
              <w:t xml:space="preserve">1.6.3 Continue to track visitor feedback and include questions in existing surveys. DIAP Working Group to review. </w:t>
            </w:r>
          </w:p>
        </w:tc>
        <w:tc>
          <w:tcPr>
            <w:tcW w:w="1276" w:type="dxa"/>
          </w:tcPr>
          <w:p w:rsidR="006C4D42" w:rsidRPr="006C4D42" w:rsidRDefault="006C4D42" w:rsidP="006C4D42">
            <w:pPr>
              <w:pStyle w:val="ColorfulShading-Accent31"/>
              <w:spacing w:after="120" w:line="240" w:lineRule="auto"/>
              <w:ind w:left="0"/>
              <w:contextualSpacing w:val="0"/>
              <w:rPr>
                <w:rFonts w:asciiTheme="minorHAnsi" w:hAnsiTheme="minorHAnsi" w:cstheme="minorHAnsi"/>
              </w:rPr>
            </w:pPr>
            <w:r w:rsidRPr="006C4D42">
              <w:rPr>
                <w:rFonts w:asciiTheme="minorHAnsi" w:hAnsiTheme="minorHAnsi" w:cstheme="minorHAnsi"/>
              </w:rPr>
              <w:t>Ongoing</w:t>
            </w:r>
          </w:p>
          <w:p w:rsidR="006C4D42" w:rsidRPr="006C4D42" w:rsidRDefault="006C4D42" w:rsidP="006C4D42">
            <w:pPr>
              <w:pStyle w:val="ColorfulShading-Accent31"/>
              <w:spacing w:after="120" w:line="240" w:lineRule="auto"/>
              <w:ind w:left="0"/>
              <w:contextualSpacing w:val="0"/>
              <w:rPr>
                <w:rFonts w:asciiTheme="minorHAnsi" w:hAnsiTheme="minorHAnsi" w:cstheme="minorHAnsi"/>
              </w:rPr>
            </w:pPr>
          </w:p>
          <w:p w:rsidR="006C4D42" w:rsidRPr="006C4D42" w:rsidRDefault="006C4D42" w:rsidP="006C4D42">
            <w:pPr>
              <w:pStyle w:val="ColorfulShading-Accent31"/>
              <w:spacing w:after="120" w:line="240" w:lineRule="auto"/>
              <w:ind w:left="0"/>
              <w:contextualSpacing w:val="0"/>
              <w:rPr>
                <w:rFonts w:asciiTheme="minorHAnsi" w:hAnsiTheme="minorHAnsi" w:cstheme="minorHAnsi"/>
              </w:rPr>
            </w:pPr>
            <w:r w:rsidRPr="006C4D42">
              <w:rPr>
                <w:rFonts w:asciiTheme="minorHAnsi" w:hAnsiTheme="minorHAnsi" w:cstheme="minorHAnsi"/>
              </w:rPr>
              <w:t>Ongoing</w:t>
            </w:r>
          </w:p>
          <w:p w:rsidR="006C4D42" w:rsidRPr="006C4D42" w:rsidRDefault="006C4D42" w:rsidP="006C4D42">
            <w:pPr>
              <w:pStyle w:val="ColorfulShading-Accent31"/>
              <w:spacing w:after="120" w:line="240" w:lineRule="auto"/>
              <w:ind w:left="0"/>
              <w:contextualSpacing w:val="0"/>
              <w:rPr>
                <w:rFonts w:asciiTheme="minorHAnsi" w:hAnsiTheme="minorHAnsi" w:cstheme="minorHAnsi"/>
              </w:rPr>
            </w:pPr>
          </w:p>
          <w:p w:rsidR="006C4D42" w:rsidRPr="006C4D42" w:rsidRDefault="006C4D42" w:rsidP="006C4D42">
            <w:pPr>
              <w:pStyle w:val="ColorfulShading-Accent31"/>
              <w:spacing w:after="120" w:line="240" w:lineRule="auto"/>
              <w:ind w:left="0"/>
              <w:contextualSpacing w:val="0"/>
              <w:rPr>
                <w:rFonts w:asciiTheme="minorHAnsi" w:hAnsiTheme="minorHAnsi" w:cstheme="minorHAnsi"/>
              </w:rPr>
            </w:pPr>
            <w:r w:rsidRPr="006C4D42">
              <w:rPr>
                <w:rFonts w:asciiTheme="minorHAnsi" w:hAnsiTheme="minorHAnsi" w:cstheme="minorHAnsi"/>
              </w:rPr>
              <w:br/>
              <w:t>Ongoing</w:t>
            </w:r>
          </w:p>
        </w:tc>
      </w:tr>
      <w:tr w:rsidR="006C4D42" w:rsidRPr="006C4D42" w:rsidTr="004E5D80">
        <w:tc>
          <w:tcPr>
            <w:tcW w:w="2981" w:type="dxa"/>
          </w:tcPr>
          <w:p w:rsidR="006C4D42" w:rsidRPr="006C4D42" w:rsidRDefault="006C4D42" w:rsidP="006C4D42">
            <w:pPr>
              <w:spacing w:after="160" w:line="259" w:lineRule="auto"/>
              <w:rPr>
                <w:rFonts w:cstheme="minorHAnsi"/>
                <w:b/>
                <w:bCs/>
                <w:color w:val="000000"/>
              </w:rPr>
            </w:pPr>
            <w:r w:rsidRPr="006C4D42">
              <w:rPr>
                <w:rFonts w:cstheme="minorHAnsi"/>
                <w:b/>
                <w:bCs/>
                <w:color w:val="000000" w:themeColor="text1"/>
              </w:rPr>
              <w:t>1.7 Audience development</w:t>
            </w:r>
          </w:p>
          <w:p w:rsidR="006C4D42" w:rsidRPr="006C4D42" w:rsidRDefault="006C4D42" w:rsidP="006C4D42">
            <w:pPr>
              <w:rPr>
                <w:rFonts w:cstheme="minorHAnsi"/>
                <w:color w:val="000000"/>
              </w:rPr>
            </w:pPr>
            <w:r w:rsidRPr="006C4D42">
              <w:rPr>
                <w:rFonts w:cstheme="minorHAnsi"/>
                <w:color w:val="000000"/>
              </w:rPr>
              <w:t xml:space="preserve">Ensure the Gallery's access services and features are communicated clearly </w:t>
            </w:r>
          </w:p>
        </w:tc>
        <w:tc>
          <w:tcPr>
            <w:tcW w:w="4952" w:type="dxa"/>
          </w:tcPr>
          <w:p w:rsidR="006C4D42" w:rsidRPr="006C4D42" w:rsidRDefault="006C4D42" w:rsidP="006C4D42">
            <w:pPr>
              <w:rPr>
                <w:rFonts w:cstheme="minorHAnsi"/>
                <w:color w:val="000000"/>
              </w:rPr>
            </w:pPr>
            <w:r w:rsidRPr="006C4D42">
              <w:rPr>
                <w:rFonts w:cstheme="minorHAnsi"/>
                <w:color w:val="000000" w:themeColor="text1"/>
              </w:rPr>
              <w:t xml:space="preserve">1.7.1 Design a plan to communicate access services to target audiences. </w:t>
            </w:r>
          </w:p>
        </w:tc>
        <w:tc>
          <w:tcPr>
            <w:tcW w:w="1276" w:type="dxa"/>
          </w:tcPr>
          <w:p w:rsidR="006C4D42" w:rsidRPr="006C4D42" w:rsidRDefault="006C4D42" w:rsidP="006C4D42">
            <w:pPr>
              <w:pStyle w:val="ColorfulShading-Accent31"/>
              <w:spacing w:after="120" w:line="240" w:lineRule="auto"/>
              <w:ind w:left="0"/>
              <w:contextualSpacing w:val="0"/>
              <w:rPr>
                <w:rFonts w:asciiTheme="minorHAnsi" w:hAnsiTheme="minorHAnsi" w:cstheme="minorHAnsi"/>
              </w:rPr>
            </w:pPr>
            <w:r w:rsidRPr="006C4D42">
              <w:rPr>
                <w:rFonts w:asciiTheme="minorHAnsi" w:hAnsiTheme="minorHAnsi" w:cstheme="minorHAnsi"/>
              </w:rPr>
              <w:t>2023</w:t>
            </w:r>
          </w:p>
        </w:tc>
      </w:tr>
    </w:tbl>
    <w:p w:rsidR="00AD6319" w:rsidRPr="006C4D42" w:rsidRDefault="00AD6319" w:rsidP="009A0950">
      <w:pPr>
        <w:rPr>
          <w:rFonts w:cstheme="minorHAnsi"/>
          <w:sz w:val="24"/>
          <w:szCs w:val="24"/>
        </w:rPr>
      </w:pPr>
    </w:p>
    <w:p w:rsidR="009A0950" w:rsidRPr="006C4D42" w:rsidRDefault="009A0950" w:rsidP="009A0950">
      <w:pPr>
        <w:rPr>
          <w:rFonts w:cstheme="minorHAnsi"/>
          <w:sz w:val="24"/>
          <w:szCs w:val="24"/>
        </w:rPr>
      </w:pPr>
      <w:r w:rsidRPr="006C4D42">
        <w:rPr>
          <w:rFonts w:cstheme="minorHAnsi"/>
          <w:b/>
          <w:sz w:val="24"/>
          <w:szCs w:val="24"/>
        </w:rPr>
        <w:t xml:space="preserve">Key Outcome Area 2: </w:t>
      </w:r>
      <w:r w:rsidRPr="006C4D42">
        <w:rPr>
          <w:rFonts w:cstheme="minorHAnsi"/>
          <w:b/>
          <w:bCs/>
          <w:sz w:val="24"/>
          <w:szCs w:val="24"/>
        </w:rPr>
        <w:t>Accessible and liveable communities</w:t>
      </w:r>
    </w:p>
    <w:p w:rsidR="009A0950" w:rsidRPr="006C4D42" w:rsidRDefault="009A0950" w:rsidP="009A0950">
      <w:pPr>
        <w:rPr>
          <w:rFonts w:cstheme="minorHAnsi"/>
          <w:sz w:val="24"/>
          <w:szCs w:val="24"/>
        </w:rPr>
      </w:pPr>
      <w:r w:rsidRPr="006C4D42">
        <w:rPr>
          <w:rFonts w:cstheme="minorHAnsi"/>
          <w:sz w:val="24"/>
          <w:szCs w:val="24"/>
        </w:rPr>
        <w:t>Creating liveable communities for people with disability is more than modifying the physical environment. It covers areas such as access to transport, community recreation and culture, social engagement and universal design.</w:t>
      </w:r>
    </w:p>
    <w:p w:rsidR="009A0950" w:rsidRPr="006C4D42" w:rsidRDefault="009A0950" w:rsidP="009A0950">
      <w:pPr>
        <w:rPr>
          <w:rFonts w:cstheme="minorHAnsi"/>
          <w:sz w:val="24"/>
          <w:szCs w:val="24"/>
        </w:rPr>
      </w:pPr>
      <w:r w:rsidRPr="006C4D42">
        <w:rPr>
          <w:rFonts w:cstheme="minorHAnsi"/>
          <w:sz w:val="24"/>
          <w:szCs w:val="24"/>
        </w:rPr>
        <w:t>Goal: We strive to deliver an accessible physical and digital space to enable universal engagement.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5048"/>
        <w:gridCol w:w="1006"/>
      </w:tblGrid>
      <w:tr w:rsidR="006C4D42" w:rsidRPr="006C4D42" w:rsidTr="005C64C5">
        <w:trPr>
          <w:trHeight w:val="256"/>
        </w:trPr>
        <w:tc>
          <w:tcPr>
            <w:tcW w:w="2972" w:type="dxa"/>
            <w:shd w:val="clear" w:color="auto" w:fill="auto"/>
          </w:tcPr>
          <w:p w:rsidR="006C4D42" w:rsidRPr="006C4D42" w:rsidRDefault="006C4D42" w:rsidP="005C64C5">
            <w:pPr>
              <w:rPr>
                <w:rFonts w:cstheme="minorHAnsi"/>
              </w:rPr>
            </w:pPr>
            <w:r w:rsidRPr="006C4D42">
              <w:rPr>
                <w:rFonts w:eastAsia="Times New Roman" w:cstheme="minorHAnsi"/>
                <w:b/>
                <w:bCs/>
                <w:color w:val="000000"/>
              </w:rPr>
              <w:t>Objective</w:t>
            </w:r>
          </w:p>
        </w:tc>
        <w:tc>
          <w:tcPr>
            <w:tcW w:w="5069" w:type="dxa"/>
          </w:tcPr>
          <w:p w:rsidR="006C4D42" w:rsidRPr="006C4D42" w:rsidRDefault="006C4D42" w:rsidP="005C64C5">
            <w:pPr>
              <w:rPr>
                <w:rFonts w:cstheme="minorHAnsi"/>
              </w:rPr>
            </w:pPr>
            <w:r w:rsidRPr="006C4D42">
              <w:rPr>
                <w:rFonts w:cstheme="minorHAnsi"/>
                <w:b/>
              </w:rPr>
              <w:t>Action</w:t>
            </w:r>
          </w:p>
        </w:tc>
        <w:tc>
          <w:tcPr>
            <w:tcW w:w="0" w:type="auto"/>
            <w:shd w:val="clear" w:color="auto" w:fill="auto"/>
          </w:tcPr>
          <w:p w:rsidR="006C4D42" w:rsidRPr="006C4D42" w:rsidRDefault="006C4D42" w:rsidP="005C64C5">
            <w:pPr>
              <w:spacing w:after="120"/>
              <w:rPr>
                <w:rFonts w:cstheme="minorHAnsi"/>
                <w:b/>
              </w:rPr>
            </w:pPr>
            <w:r w:rsidRPr="006C4D42">
              <w:rPr>
                <w:rFonts w:cstheme="minorHAnsi"/>
                <w:b/>
              </w:rPr>
              <w:t>Timeline</w:t>
            </w:r>
          </w:p>
        </w:tc>
      </w:tr>
      <w:tr w:rsidR="006C4D42" w:rsidRPr="006C4D42" w:rsidTr="005C64C5">
        <w:trPr>
          <w:trHeight w:val="653"/>
        </w:trPr>
        <w:tc>
          <w:tcPr>
            <w:tcW w:w="2972" w:type="dxa"/>
            <w:shd w:val="clear" w:color="auto" w:fill="auto"/>
          </w:tcPr>
          <w:p w:rsidR="006C4D42" w:rsidRPr="006C4D42" w:rsidRDefault="006C4D42" w:rsidP="005C64C5">
            <w:pPr>
              <w:rPr>
                <w:rFonts w:cstheme="minorHAnsi"/>
                <w:color w:val="000000"/>
              </w:rPr>
            </w:pPr>
            <w:r w:rsidRPr="006C4D42">
              <w:rPr>
                <w:rFonts w:cstheme="minorHAnsi"/>
                <w:b/>
                <w:bCs/>
                <w:color w:val="000000" w:themeColor="text1"/>
              </w:rPr>
              <w:t xml:space="preserve">2.1 Accessible exhibition design </w:t>
            </w:r>
            <w:r w:rsidRPr="006C4D42">
              <w:rPr>
                <w:rFonts w:cstheme="minorHAnsi"/>
              </w:rPr>
              <w:br/>
            </w:r>
            <w:r w:rsidRPr="006C4D42">
              <w:rPr>
                <w:rFonts w:cstheme="minorHAnsi"/>
                <w:color w:val="000000" w:themeColor="text1"/>
              </w:rPr>
              <w:t xml:space="preserve">Ensure exhibitions are designed and delivered with access and inclusion best practice </w:t>
            </w:r>
          </w:p>
        </w:tc>
        <w:tc>
          <w:tcPr>
            <w:tcW w:w="5069" w:type="dxa"/>
          </w:tcPr>
          <w:p w:rsidR="006C4D42" w:rsidRPr="006C4D42" w:rsidRDefault="006C4D42" w:rsidP="005C64C5">
            <w:pPr>
              <w:spacing w:after="240"/>
              <w:rPr>
                <w:rFonts w:cstheme="minorHAnsi"/>
                <w:color w:val="000000"/>
              </w:rPr>
            </w:pPr>
            <w:r w:rsidRPr="006C4D42">
              <w:rPr>
                <w:rFonts w:cstheme="minorHAnsi"/>
                <w:color w:val="000000" w:themeColor="text1"/>
              </w:rPr>
              <w:t xml:space="preserve">2.1.1 Continue to reference existing available resources such as the Smithsonian Guidelines for Accessible Exhibition Design. </w:t>
            </w:r>
            <w:r w:rsidRPr="006C4D42">
              <w:rPr>
                <w:rFonts w:cstheme="minorHAnsi"/>
              </w:rPr>
              <w:br/>
            </w:r>
          </w:p>
          <w:p w:rsidR="006C4D42" w:rsidRPr="006C4D42" w:rsidRDefault="006C4D42" w:rsidP="005C64C5">
            <w:pPr>
              <w:spacing w:after="120"/>
              <w:rPr>
                <w:rFonts w:cstheme="minorHAnsi"/>
              </w:rPr>
            </w:pPr>
          </w:p>
        </w:tc>
        <w:tc>
          <w:tcPr>
            <w:tcW w:w="0" w:type="auto"/>
            <w:shd w:val="clear" w:color="auto" w:fill="auto"/>
          </w:tcPr>
          <w:p w:rsidR="006C4D42" w:rsidRPr="006C4D42" w:rsidRDefault="006C4D42" w:rsidP="005C64C5">
            <w:pPr>
              <w:rPr>
                <w:rFonts w:cstheme="minorHAnsi"/>
              </w:rPr>
            </w:pPr>
            <w:r w:rsidRPr="006C4D42">
              <w:rPr>
                <w:rFonts w:cstheme="minorHAnsi"/>
              </w:rPr>
              <w:t>Ongoing</w:t>
            </w:r>
          </w:p>
        </w:tc>
      </w:tr>
      <w:tr w:rsidR="006C4D42" w:rsidRPr="006C4D42" w:rsidTr="005C64C5">
        <w:trPr>
          <w:trHeight w:val="4214"/>
        </w:trPr>
        <w:tc>
          <w:tcPr>
            <w:tcW w:w="2972" w:type="dxa"/>
            <w:shd w:val="clear" w:color="auto" w:fill="auto"/>
          </w:tcPr>
          <w:p w:rsidR="006C4D42" w:rsidRPr="006C4D42" w:rsidRDefault="006C4D42" w:rsidP="005C64C5">
            <w:pPr>
              <w:rPr>
                <w:rFonts w:cstheme="minorHAnsi"/>
                <w:color w:val="000000"/>
              </w:rPr>
            </w:pPr>
            <w:r w:rsidRPr="006C4D42">
              <w:rPr>
                <w:rFonts w:cstheme="minorHAnsi"/>
                <w:b/>
                <w:bCs/>
                <w:color w:val="000000" w:themeColor="text1"/>
              </w:rPr>
              <w:t>2.2 Accessible programming</w:t>
            </w:r>
            <w:r w:rsidRPr="006C4D42">
              <w:rPr>
                <w:rFonts w:cstheme="minorHAnsi"/>
              </w:rPr>
              <w:br/>
            </w:r>
            <w:r w:rsidRPr="006C4D42">
              <w:rPr>
                <w:rFonts w:cstheme="minorHAnsi"/>
                <w:color w:val="000000" w:themeColor="text1"/>
              </w:rPr>
              <w:t xml:space="preserve">Ensure programs are accessible to those with a range of access requirements </w:t>
            </w:r>
          </w:p>
        </w:tc>
        <w:tc>
          <w:tcPr>
            <w:tcW w:w="5069" w:type="dxa"/>
          </w:tcPr>
          <w:p w:rsidR="006C4D42" w:rsidRPr="006C4D42" w:rsidRDefault="006C4D42" w:rsidP="005C64C5">
            <w:pPr>
              <w:spacing w:after="240"/>
              <w:rPr>
                <w:rFonts w:cstheme="minorHAnsi"/>
              </w:rPr>
            </w:pPr>
            <w:r w:rsidRPr="006C4D42">
              <w:rPr>
                <w:rFonts w:cstheme="minorHAnsi"/>
                <w:color w:val="000000" w:themeColor="text1"/>
              </w:rPr>
              <w:t xml:space="preserve">2.2.1 Continue to offer regular programs with accessible services and content such as </w:t>
            </w:r>
            <w:proofErr w:type="spellStart"/>
            <w:r w:rsidRPr="006C4D42">
              <w:rPr>
                <w:rFonts w:cstheme="minorHAnsi"/>
                <w:color w:val="000000" w:themeColor="text1"/>
              </w:rPr>
              <w:t>Auslan</w:t>
            </w:r>
            <w:proofErr w:type="spellEnd"/>
            <w:r w:rsidRPr="006C4D42">
              <w:rPr>
                <w:rFonts w:cstheme="minorHAnsi"/>
                <w:color w:val="000000" w:themeColor="text1"/>
              </w:rPr>
              <w:t xml:space="preserve"> interpretation and programs for people living with dementia and sensory sensitivities. Evaluate and monitor to ensure continuous improvement. </w:t>
            </w:r>
          </w:p>
          <w:p w:rsidR="006C4D42" w:rsidRPr="006C4D42" w:rsidRDefault="006C4D42" w:rsidP="005C64C5">
            <w:pPr>
              <w:rPr>
                <w:rFonts w:cstheme="minorHAnsi"/>
                <w:color w:val="000000" w:themeColor="text1"/>
              </w:rPr>
            </w:pPr>
            <w:r w:rsidRPr="006C4D42">
              <w:rPr>
                <w:rFonts w:cstheme="minorHAnsi"/>
                <w:color w:val="000000" w:themeColor="text1"/>
              </w:rPr>
              <w:t xml:space="preserve">2.2.2 Scope the potential of developing </w:t>
            </w:r>
            <w:bookmarkStart w:id="3" w:name="_Int_4KBS8XhA"/>
            <w:r w:rsidRPr="006C4D42">
              <w:rPr>
                <w:rFonts w:cstheme="minorHAnsi"/>
                <w:color w:val="000000" w:themeColor="text1"/>
              </w:rPr>
              <w:t>new programs</w:t>
            </w:r>
            <w:bookmarkEnd w:id="3"/>
            <w:r w:rsidRPr="006C4D42">
              <w:rPr>
                <w:rFonts w:cstheme="minorHAnsi"/>
                <w:color w:val="000000" w:themeColor="text1"/>
              </w:rPr>
              <w:t xml:space="preserve"> and methods of support, as required (e.g. support for people with intellectual disability).</w:t>
            </w:r>
          </w:p>
          <w:p w:rsidR="006C4D42" w:rsidRPr="006C4D42" w:rsidRDefault="006C4D42" w:rsidP="005C64C5">
            <w:pPr>
              <w:rPr>
                <w:rFonts w:cstheme="minorHAnsi"/>
                <w:color w:val="000000" w:themeColor="text1"/>
              </w:rPr>
            </w:pPr>
          </w:p>
          <w:p w:rsidR="006C4D42" w:rsidRPr="006C4D42" w:rsidRDefault="006C4D42" w:rsidP="005C64C5">
            <w:pPr>
              <w:rPr>
                <w:rFonts w:cstheme="minorHAnsi"/>
                <w:color w:val="000000"/>
              </w:rPr>
            </w:pPr>
            <w:r w:rsidRPr="006C4D42">
              <w:rPr>
                <w:rFonts w:cstheme="minorHAnsi"/>
                <w:color w:val="000000" w:themeColor="text1"/>
              </w:rPr>
              <w:t>2.2.3 Develop and make available Visual Stories detailing how to access the Gallery for public and visiting school groups.</w:t>
            </w:r>
          </w:p>
        </w:tc>
        <w:tc>
          <w:tcPr>
            <w:tcW w:w="0" w:type="auto"/>
            <w:shd w:val="clear" w:color="auto" w:fill="auto"/>
          </w:tcPr>
          <w:p w:rsidR="006C4D42" w:rsidRPr="006C4D42" w:rsidRDefault="006C4D42" w:rsidP="005C64C5">
            <w:pPr>
              <w:spacing w:after="120"/>
              <w:rPr>
                <w:rFonts w:cstheme="minorHAnsi"/>
              </w:rPr>
            </w:pPr>
            <w:r w:rsidRPr="006C4D42">
              <w:rPr>
                <w:rFonts w:cstheme="minorHAnsi"/>
              </w:rPr>
              <w:t>Ongoing</w:t>
            </w:r>
          </w:p>
          <w:p w:rsidR="006C4D42" w:rsidRPr="006C4D42" w:rsidRDefault="006C4D42" w:rsidP="005C64C5">
            <w:pPr>
              <w:spacing w:after="120"/>
              <w:rPr>
                <w:rFonts w:cstheme="minorHAnsi"/>
              </w:rPr>
            </w:pPr>
          </w:p>
          <w:p w:rsidR="006C4D42" w:rsidRPr="006C4D42" w:rsidRDefault="006C4D42" w:rsidP="005C64C5">
            <w:pPr>
              <w:spacing w:after="120"/>
              <w:rPr>
                <w:rFonts w:cstheme="minorHAnsi"/>
              </w:rPr>
            </w:pPr>
          </w:p>
          <w:p w:rsidR="006C4D42" w:rsidRPr="006C4D42" w:rsidRDefault="006C4D42" w:rsidP="005C64C5">
            <w:pPr>
              <w:spacing w:after="120"/>
              <w:rPr>
                <w:rFonts w:cstheme="minorHAnsi"/>
              </w:rPr>
            </w:pPr>
          </w:p>
          <w:p w:rsidR="006C4D42" w:rsidRPr="006C4D42" w:rsidRDefault="006C4D42" w:rsidP="005C64C5">
            <w:pPr>
              <w:spacing w:after="120"/>
              <w:rPr>
                <w:rFonts w:cstheme="minorHAnsi"/>
              </w:rPr>
            </w:pPr>
            <w:r w:rsidRPr="006C4D42">
              <w:rPr>
                <w:rFonts w:cstheme="minorHAnsi"/>
              </w:rPr>
              <w:t>2024</w:t>
            </w:r>
          </w:p>
          <w:p w:rsidR="006C4D42" w:rsidRPr="006C4D42" w:rsidRDefault="006C4D42" w:rsidP="005C64C5">
            <w:pPr>
              <w:spacing w:after="120"/>
              <w:rPr>
                <w:rFonts w:cstheme="minorHAnsi"/>
              </w:rPr>
            </w:pPr>
          </w:p>
          <w:p w:rsidR="006C4D42" w:rsidRPr="006C4D42" w:rsidRDefault="006C4D42" w:rsidP="005C64C5">
            <w:pPr>
              <w:spacing w:after="120"/>
              <w:rPr>
                <w:rFonts w:cstheme="minorHAnsi"/>
              </w:rPr>
            </w:pPr>
          </w:p>
          <w:p w:rsidR="006C4D42" w:rsidRPr="006C4D42" w:rsidRDefault="006C4D42" w:rsidP="005C64C5">
            <w:pPr>
              <w:spacing w:after="120"/>
              <w:rPr>
                <w:rFonts w:cstheme="minorHAnsi"/>
              </w:rPr>
            </w:pPr>
            <w:r w:rsidRPr="006C4D42">
              <w:rPr>
                <w:rFonts w:cstheme="minorHAnsi"/>
              </w:rPr>
              <w:t>2023</w:t>
            </w:r>
          </w:p>
        </w:tc>
      </w:tr>
      <w:tr w:rsidR="006C4D42" w:rsidRPr="006C4D42" w:rsidTr="005C64C5">
        <w:trPr>
          <w:trHeight w:val="678"/>
        </w:trPr>
        <w:tc>
          <w:tcPr>
            <w:tcW w:w="2972" w:type="dxa"/>
            <w:shd w:val="clear" w:color="auto" w:fill="auto"/>
          </w:tcPr>
          <w:p w:rsidR="006C4D42" w:rsidRPr="006C4D42" w:rsidRDefault="006C4D42" w:rsidP="005C64C5">
            <w:pPr>
              <w:rPr>
                <w:rFonts w:cstheme="minorHAnsi"/>
                <w:color w:val="000000"/>
              </w:rPr>
            </w:pPr>
            <w:r w:rsidRPr="006C4D42">
              <w:rPr>
                <w:rFonts w:cstheme="minorHAnsi"/>
                <w:b/>
                <w:bCs/>
                <w:color w:val="000000" w:themeColor="text1"/>
              </w:rPr>
              <w:lastRenderedPageBreak/>
              <w:t xml:space="preserve">2.3 Audio tour </w:t>
            </w:r>
            <w:r w:rsidRPr="006C4D42">
              <w:rPr>
                <w:rFonts w:cstheme="minorHAnsi"/>
              </w:rPr>
              <w:br/>
            </w:r>
            <w:r w:rsidRPr="006C4D42">
              <w:rPr>
                <w:rFonts w:cstheme="minorHAnsi"/>
                <w:color w:val="000000" w:themeColor="text1"/>
              </w:rPr>
              <w:t>Ensure the audio tour is easy to access</w:t>
            </w:r>
          </w:p>
        </w:tc>
        <w:tc>
          <w:tcPr>
            <w:tcW w:w="5069" w:type="dxa"/>
          </w:tcPr>
          <w:p w:rsidR="006C4D42" w:rsidRPr="006C4D42" w:rsidRDefault="006C4D42" w:rsidP="005C64C5">
            <w:pPr>
              <w:rPr>
                <w:rFonts w:cstheme="minorHAnsi"/>
                <w:color w:val="000000"/>
              </w:rPr>
            </w:pPr>
            <w:r w:rsidRPr="006C4D42">
              <w:rPr>
                <w:rFonts w:cstheme="minorHAnsi"/>
                <w:color w:val="000000" w:themeColor="text1"/>
              </w:rPr>
              <w:t>2.3.1 Implement user friendly and intuitive QR codes to simplify access. Test the user experience before rolling these features out for public use.</w:t>
            </w:r>
          </w:p>
        </w:tc>
        <w:tc>
          <w:tcPr>
            <w:tcW w:w="0" w:type="auto"/>
            <w:shd w:val="clear" w:color="auto" w:fill="auto"/>
          </w:tcPr>
          <w:p w:rsidR="006C4D42" w:rsidRPr="006C4D42" w:rsidRDefault="006C4D42" w:rsidP="005C64C5">
            <w:pPr>
              <w:pStyle w:val="ColorfulShading-Accent31"/>
              <w:spacing w:after="120" w:line="240" w:lineRule="auto"/>
              <w:ind w:left="0"/>
              <w:contextualSpacing w:val="0"/>
              <w:rPr>
                <w:rFonts w:asciiTheme="minorHAnsi" w:hAnsiTheme="minorHAnsi" w:cstheme="minorHAnsi"/>
              </w:rPr>
            </w:pPr>
            <w:r w:rsidRPr="006C4D42">
              <w:rPr>
                <w:rFonts w:asciiTheme="minorHAnsi" w:hAnsiTheme="minorHAnsi" w:cstheme="minorHAnsi"/>
              </w:rPr>
              <w:t>2024</w:t>
            </w:r>
          </w:p>
        </w:tc>
      </w:tr>
      <w:tr w:rsidR="006C4D42" w:rsidRPr="006C4D42" w:rsidTr="005C64C5">
        <w:trPr>
          <w:trHeight w:val="678"/>
        </w:trPr>
        <w:tc>
          <w:tcPr>
            <w:tcW w:w="2972" w:type="dxa"/>
            <w:shd w:val="clear" w:color="auto" w:fill="auto"/>
          </w:tcPr>
          <w:p w:rsidR="006C4D42" w:rsidRPr="006C4D42" w:rsidRDefault="006C4D42" w:rsidP="005C64C5">
            <w:pPr>
              <w:rPr>
                <w:rFonts w:cstheme="minorHAnsi"/>
                <w:color w:val="000000"/>
              </w:rPr>
            </w:pPr>
            <w:r w:rsidRPr="006C4D42">
              <w:rPr>
                <w:rFonts w:cstheme="minorHAnsi"/>
                <w:b/>
                <w:bCs/>
                <w:color w:val="000000" w:themeColor="text1"/>
              </w:rPr>
              <w:t>2.4 Audio Description Program</w:t>
            </w:r>
            <w:r w:rsidRPr="006C4D42">
              <w:rPr>
                <w:rFonts w:cstheme="minorHAnsi"/>
              </w:rPr>
              <w:br/>
            </w:r>
            <w:r w:rsidRPr="006C4D42">
              <w:rPr>
                <w:rFonts w:cstheme="minorHAnsi"/>
                <w:color w:val="000000" w:themeColor="text1"/>
              </w:rPr>
              <w:t>Continue to provide a high-quality Audio Description Program</w:t>
            </w:r>
          </w:p>
        </w:tc>
        <w:tc>
          <w:tcPr>
            <w:tcW w:w="5069" w:type="dxa"/>
          </w:tcPr>
          <w:p w:rsidR="006C4D42" w:rsidRPr="006C4D42" w:rsidRDefault="006C4D42" w:rsidP="005C64C5">
            <w:pPr>
              <w:spacing w:after="240"/>
              <w:rPr>
                <w:rFonts w:cstheme="minorHAnsi"/>
                <w:color w:val="000000"/>
              </w:rPr>
            </w:pPr>
            <w:r w:rsidRPr="006C4D42">
              <w:rPr>
                <w:rFonts w:cstheme="minorHAnsi"/>
                <w:color w:val="000000" w:themeColor="text1"/>
              </w:rPr>
              <w:t xml:space="preserve">2.4.1 Review how audio description content gets to the end user through user testing and other methods and implement improvements. </w:t>
            </w:r>
            <w:r w:rsidRPr="006C4D42">
              <w:rPr>
                <w:rFonts w:cstheme="minorHAnsi"/>
              </w:rPr>
              <w:br/>
            </w:r>
          </w:p>
          <w:p w:rsidR="006C4D42" w:rsidRPr="006C4D42" w:rsidRDefault="006C4D42" w:rsidP="005C64C5">
            <w:pPr>
              <w:rPr>
                <w:rFonts w:cstheme="minorHAnsi"/>
                <w:color w:val="000000"/>
              </w:rPr>
            </w:pPr>
          </w:p>
        </w:tc>
        <w:tc>
          <w:tcPr>
            <w:tcW w:w="0" w:type="auto"/>
            <w:shd w:val="clear" w:color="auto" w:fill="auto"/>
          </w:tcPr>
          <w:p w:rsidR="006C4D42" w:rsidRPr="006C4D42" w:rsidRDefault="006C4D42" w:rsidP="005C64C5">
            <w:pPr>
              <w:pStyle w:val="ColorfulShading-Accent31"/>
              <w:spacing w:after="120" w:line="240" w:lineRule="auto"/>
              <w:ind w:left="0"/>
              <w:rPr>
                <w:rFonts w:asciiTheme="minorHAnsi" w:hAnsiTheme="minorHAnsi" w:cstheme="minorHAnsi"/>
              </w:rPr>
            </w:pPr>
            <w:r w:rsidRPr="006C4D42">
              <w:rPr>
                <w:rFonts w:asciiTheme="minorHAnsi" w:hAnsiTheme="minorHAnsi" w:cstheme="minorHAnsi"/>
              </w:rPr>
              <w:t>2024</w:t>
            </w:r>
          </w:p>
        </w:tc>
      </w:tr>
      <w:tr w:rsidR="006C4D42" w:rsidRPr="006C4D42" w:rsidTr="005C64C5">
        <w:trPr>
          <w:trHeight w:val="411"/>
        </w:trPr>
        <w:tc>
          <w:tcPr>
            <w:tcW w:w="2972" w:type="dxa"/>
            <w:shd w:val="clear" w:color="auto" w:fill="auto"/>
          </w:tcPr>
          <w:p w:rsidR="006C4D42" w:rsidRPr="006C4D42" w:rsidRDefault="006C4D42" w:rsidP="005C64C5">
            <w:pPr>
              <w:rPr>
                <w:rFonts w:cstheme="minorHAnsi"/>
                <w:color w:val="000000"/>
              </w:rPr>
            </w:pPr>
            <w:r w:rsidRPr="006C4D42">
              <w:rPr>
                <w:rFonts w:cstheme="minorHAnsi"/>
                <w:b/>
                <w:bCs/>
                <w:color w:val="000000" w:themeColor="text1"/>
              </w:rPr>
              <w:t xml:space="preserve">2.5 Digital experiences </w:t>
            </w:r>
            <w:r w:rsidRPr="006C4D42">
              <w:rPr>
                <w:rFonts w:cstheme="minorHAnsi"/>
              </w:rPr>
              <w:br/>
            </w:r>
            <w:r w:rsidRPr="006C4D42">
              <w:rPr>
                <w:rFonts w:cstheme="minorHAnsi"/>
                <w:color w:val="000000" w:themeColor="text1"/>
              </w:rPr>
              <w:t xml:space="preserve">Ensure digital offerings are accessible for people with disability </w:t>
            </w:r>
          </w:p>
        </w:tc>
        <w:tc>
          <w:tcPr>
            <w:tcW w:w="5069" w:type="dxa"/>
          </w:tcPr>
          <w:p w:rsidR="006C4D42" w:rsidRPr="006C4D42" w:rsidRDefault="006C4D42" w:rsidP="005C64C5">
            <w:pPr>
              <w:rPr>
                <w:rFonts w:cstheme="minorHAnsi"/>
                <w:color w:val="000000"/>
              </w:rPr>
            </w:pPr>
            <w:r w:rsidRPr="006C4D42">
              <w:rPr>
                <w:rFonts w:cstheme="minorHAnsi"/>
                <w:color w:val="000000" w:themeColor="text1"/>
              </w:rPr>
              <w:t xml:space="preserve">2.5.1 Ensure access is planned for any digital offerings and added in a timely manner (ideally live) to ensure an equitable experience. </w:t>
            </w:r>
            <w:r w:rsidRPr="006C4D42">
              <w:rPr>
                <w:rFonts w:cstheme="minorHAnsi"/>
              </w:rPr>
              <w:br/>
            </w:r>
          </w:p>
          <w:p w:rsidR="006C4D42" w:rsidRPr="006C4D42" w:rsidRDefault="006C4D42" w:rsidP="005C64C5">
            <w:pPr>
              <w:rPr>
                <w:rFonts w:cstheme="minorHAnsi"/>
                <w:color w:val="000000"/>
              </w:rPr>
            </w:pPr>
            <w:r w:rsidRPr="006C4D42">
              <w:rPr>
                <w:rFonts w:cstheme="minorHAnsi"/>
                <w:color w:val="000000" w:themeColor="text1"/>
              </w:rPr>
              <w:t>2.5.2 Ensure that hybrid experiences (onsite and online) are accessible. Look to engage captioning services for onsite audience as required.</w:t>
            </w:r>
          </w:p>
        </w:tc>
        <w:tc>
          <w:tcPr>
            <w:tcW w:w="0" w:type="auto"/>
            <w:shd w:val="clear" w:color="auto" w:fill="auto"/>
          </w:tcPr>
          <w:p w:rsidR="006C4D42" w:rsidRPr="006C4D42" w:rsidRDefault="006C4D42" w:rsidP="005C64C5">
            <w:pPr>
              <w:pStyle w:val="ColorfulShading-Accent31"/>
              <w:spacing w:after="120" w:line="240" w:lineRule="auto"/>
              <w:ind w:left="0"/>
              <w:contextualSpacing w:val="0"/>
              <w:rPr>
                <w:rFonts w:asciiTheme="minorHAnsi" w:hAnsiTheme="minorHAnsi" w:cstheme="minorHAnsi"/>
              </w:rPr>
            </w:pPr>
            <w:r w:rsidRPr="006C4D42">
              <w:rPr>
                <w:rFonts w:asciiTheme="minorHAnsi" w:hAnsiTheme="minorHAnsi" w:cstheme="minorHAnsi"/>
              </w:rPr>
              <w:t>Ongoing</w:t>
            </w:r>
          </w:p>
          <w:p w:rsidR="006C4D42" w:rsidRPr="006C4D42" w:rsidRDefault="006C4D42" w:rsidP="005C64C5">
            <w:pPr>
              <w:pStyle w:val="ColorfulShading-Accent31"/>
              <w:spacing w:after="120" w:line="240" w:lineRule="auto"/>
              <w:ind w:left="0"/>
              <w:contextualSpacing w:val="0"/>
              <w:rPr>
                <w:rFonts w:asciiTheme="minorHAnsi" w:hAnsiTheme="minorHAnsi" w:cstheme="minorHAnsi"/>
              </w:rPr>
            </w:pPr>
          </w:p>
          <w:p w:rsidR="006C4D42" w:rsidRPr="006C4D42" w:rsidRDefault="006C4D42" w:rsidP="005C64C5">
            <w:pPr>
              <w:pStyle w:val="ColorfulShading-Accent31"/>
              <w:spacing w:after="120" w:line="240" w:lineRule="auto"/>
              <w:ind w:left="0"/>
              <w:rPr>
                <w:rFonts w:asciiTheme="minorHAnsi" w:hAnsiTheme="minorHAnsi" w:cstheme="minorHAnsi"/>
              </w:rPr>
            </w:pPr>
          </w:p>
          <w:p w:rsidR="006C4D42" w:rsidRPr="006C4D42" w:rsidRDefault="006C4D42" w:rsidP="005C64C5">
            <w:pPr>
              <w:pStyle w:val="ColorfulShading-Accent31"/>
              <w:spacing w:after="120" w:line="240" w:lineRule="auto"/>
              <w:ind w:left="0"/>
              <w:contextualSpacing w:val="0"/>
              <w:rPr>
                <w:rFonts w:asciiTheme="minorHAnsi" w:hAnsiTheme="minorHAnsi" w:cstheme="minorHAnsi"/>
              </w:rPr>
            </w:pPr>
            <w:r w:rsidRPr="006C4D42">
              <w:rPr>
                <w:rFonts w:asciiTheme="minorHAnsi" w:hAnsiTheme="minorHAnsi" w:cstheme="minorHAnsi"/>
              </w:rPr>
              <w:t>Ongoing</w:t>
            </w:r>
          </w:p>
        </w:tc>
      </w:tr>
      <w:tr w:rsidR="006C4D42" w:rsidRPr="006C4D42" w:rsidTr="005C64C5">
        <w:trPr>
          <w:trHeight w:val="411"/>
        </w:trPr>
        <w:tc>
          <w:tcPr>
            <w:tcW w:w="2972" w:type="dxa"/>
            <w:shd w:val="clear" w:color="auto" w:fill="auto"/>
          </w:tcPr>
          <w:p w:rsidR="006C4D42" w:rsidRPr="006C4D42" w:rsidRDefault="006C4D42" w:rsidP="005C64C5">
            <w:pPr>
              <w:rPr>
                <w:rFonts w:cstheme="minorHAnsi"/>
                <w:color w:val="000000"/>
              </w:rPr>
            </w:pPr>
            <w:r w:rsidRPr="006C4D42">
              <w:rPr>
                <w:rFonts w:cstheme="minorHAnsi"/>
                <w:b/>
                <w:bCs/>
                <w:color w:val="000000" w:themeColor="text1"/>
              </w:rPr>
              <w:t>2.6 Wayfinding and signage</w:t>
            </w:r>
            <w:r w:rsidRPr="006C4D42">
              <w:rPr>
                <w:rFonts w:cstheme="minorHAnsi"/>
              </w:rPr>
              <w:br/>
            </w:r>
            <w:r w:rsidRPr="006C4D42">
              <w:rPr>
                <w:rFonts w:cstheme="minorHAnsi"/>
                <w:color w:val="000000" w:themeColor="text1"/>
              </w:rPr>
              <w:t xml:space="preserve">Improve wayfinding experiences for people to access the building independently </w:t>
            </w:r>
          </w:p>
          <w:p w:rsidR="006C4D42" w:rsidRPr="006C4D42" w:rsidRDefault="006C4D42" w:rsidP="005C64C5">
            <w:pPr>
              <w:rPr>
                <w:rFonts w:cstheme="minorHAnsi"/>
                <w:b/>
                <w:bCs/>
                <w:color w:val="000000"/>
              </w:rPr>
            </w:pPr>
          </w:p>
        </w:tc>
        <w:tc>
          <w:tcPr>
            <w:tcW w:w="5069" w:type="dxa"/>
          </w:tcPr>
          <w:p w:rsidR="006C4D42" w:rsidRPr="006C4D42" w:rsidRDefault="006C4D42" w:rsidP="005C64C5">
            <w:pPr>
              <w:rPr>
                <w:rFonts w:cstheme="minorHAnsi"/>
                <w:color w:val="000000"/>
              </w:rPr>
            </w:pPr>
            <w:r w:rsidRPr="006C4D42">
              <w:rPr>
                <w:rFonts w:cstheme="minorHAnsi"/>
                <w:color w:val="000000" w:themeColor="text1"/>
              </w:rPr>
              <w:t xml:space="preserve">2.6.1 Develop a wayfinding strategy, to improve signage and wayfinding across the Gallery. </w:t>
            </w:r>
          </w:p>
          <w:p w:rsidR="006C4D42" w:rsidRPr="006C4D42" w:rsidRDefault="006C4D42" w:rsidP="005C64C5">
            <w:pPr>
              <w:rPr>
                <w:rFonts w:cstheme="minorHAnsi"/>
                <w:color w:val="000000" w:themeColor="text1"/>
              </w:rPr>
            </w:pPr>
          </w:p>
          <w:p w:rsidR="006C4D42" w:rsidRPr="006C4D42" w:rsidRDefault="006C4D42" w:rsidP="005C64C5">
            <w:pPr>
              <w:rPr>
                <w:rFonts w:cstheme="minorHAnsi"/>
                <w:color w:val="000000" w:themeColor="text1"/>
              </w:rPr>
            </w:pPr>
            <w:r w:rsidRPr="006C4D42">
              <w:rPr>
                <w:rFonts w:cstheme="minorHAnsi"/>
                <w:color w:val="000000" w:themeColor="text1"/>
              </w:rPr>
              <w:t>2.6.2 Ensure any digital signage meets accessibility requirements and does not contain flashing imagery.</w:t>
            </w:r>
          </w:p>
          <w:p w:rsidR="006C4D42" w:rsidRPr="006C4D42" w:rsidRDefault="006C4D42" w:rsidP="005C64C5">
            <w:pPr>
              <w:rPr>
                <w:rFonts w:cstheme="minorHAnsi"/>
                <w:color w:val="000000"/>
              </w:rPr>
            </w:pPr>
          </w:p>
        </w:tc>
        <w:tc>
          <w:tcPr>
            <w:tcW w:w="0" w:type="auto"/>
            <w:shd w:val="clear" w:color="auto" w:fill="auto"/>
          </w:tcPr>
          <w:p w:rsidR="006C4D42" w:rsidRPr="006C4D42" w:rsidRDefault="006C4D42" w:rsidP="005C64C5">
            <w:pPr>
              <w:pStyle w:val="ColorfulShading-Accent31"/>
              <w:spacing w:after="120" w:line="240" w:lineRule="auto"/>
              <w:ind w:left="0"/>
              <w:contextualSpacing w:val="0"/>
              <w:rPr>
                <w:rFonts w:asciiTheme="minorHAnsi" w:hAnsiTheme="minorHAnsi" w:cstheme="minorHAnsi"/>
              </w:rPr>
            </w:pPr>
            <w:r w:rsidRPr="006C4D42">
              <w:rPr>
                <w:rFonts w:asciiTheme="minorHAnsi" w:hAnsiTheme="minorHAnsi" w:cstheme="minorHAnsi"/>
              </w:rPr>
              <w:t>2023</w:t>
            </w:r>
          </w:p>
          <w:p w:rsidR="006C4D42" w:rsidRPr="006C4D42" w:rsidRDefault="006C4D42" w:rsidP="005C64C5">
            <w:pPr>
              <w:pStyle w:val="ColorfulShading-Accent31"/>
              <w:spacing w:after="120" w:line="240" w:lineRule="auto"/>
              <w:ind w:left="0"/>
              <w:contextualSpacing w:val="0"/>
              <w:rPr>
                <w:rFonts w:asciiTheme="minorHAnsi" w:hAnsiTheme="minorHAnsi" w:cstheme="minorHAnsi"/>
              </w:rPr>
            </w:pPr>
          </w:p>
          <w:p w:rsidR="006C4D42" w:rsidRPr="006C4D42" w:rsidRDefault="006C4D42" w:rsidP="005C64C5">
            <w:pPr>
              <w:pStyle w:val="ColorfulShading-Accent31"/>
              <w:spacing w:after="120" w:line="240" w:lineRule="auto"/>
              <w:ind w:left="0"/>
              <w:rPr>
                <w:rFonts w:asciiTheme="minorHAnsi" w:hAnsiTheme="minorHAnsi" w:cstheme="minorHAnsi"/>
              </w:rPr>
            </w:pPr>
            <w:r w:rsidRPr="006C4D42">
              <w:rPr>
                <w:rFonts w:asciiTheme="minorHAnsi" w:hAnsiTheme="minorHAnsi" w:cstheme="minorHAnsi"/>
              </w:rPr>
              <w:t>2023</w:t>
            </w:r>
          </w:p>
        </w:tc>
      </w:tr>
      <w:tr w:rsidR="006C4D42" w:rsidRPr="006C4D42" w:rsidTr="005C64C5">
        <w:trPr>
          <w:trHeight w:val="1817"/>
        </w:trPr>
        <w:tc>
          <w:tcPr>
            <w:tcW w:w="2972" w:type="dxa"/>
            <w:shd w:val="clear" w:color="auto" w:fill="auto"/>
          </w:tcPr>
          <w:p w:rsidR="006C4D42" w:rsidRPr="006C4D42" w:rsidRDefault="006C4D42" w:rsidP="005C64C5">
            <w:pPr>
              <w:rPr>
                <w:rFonts w:cstheme="minorHAnsi"/>
                <w:color w:val="000000"/>
              </w:rPr>
            </w:pPr>
            <w:r w:rsidRPr="006C4D42">
              <w:rPr>
                <w:rFonts w:cstheme="minorHAnsi"/>
                <w:b/>
                <w:bCs/>
                <w:color w:val="000000" w:themeColor="text1"/>
              </w:rPr>
              <w:t xml:space="preserve">2.7 Building </w:t>
            </w:r>
            <w:r w:rsidRPr="006C4D42">
              <w:rPr>
                <w:rFonts w:cstheme="minorHAnsi"/>
              </w:rPr>
              <w:br/>
            </w:r>
            <w:r w:rsidRPr="006C4D42">
              <w:rPr>
                <w:rFonts w:cstheme="minorHAnsi"/>
                <w:color w:val="000000" w:themeColor="text1"/>
              </w:rPr>
              <w:t>Continue to make access improvements to the built environment as required</w:t>
            </w:r>
          </w:p>
        </w:tc>
        <w:tc>
          <w:tcPr>
            <w:tcW w:w="5069" w:type="dxa"/>
          </w:tcPr>
          <w:p w:rsidR="006C4D42" w:rsidRPr="006C4D42" w:rsidRDefault="006C4D42" w:rsidP="005C64C5">
            <w:pPr>
              <w:rPr>
                <w:rFonts w:cstheme="minorHAnsi"/>
                <w:color w:val="000000"/>
              </w:rPr>
            </w:pPr>
            <w:r w:rsidRPr="006C4D42">
              <w:rPr>
                <w:rFonts w:cstheme="minorHAnsi"/>
                <w:color w:val="000000" w:themeColor="text1"/>
              </w:rPr>
              <w:t xml:space="preserve">2.7.1 Review and action building updates as needed and consider access requirements in Capital Works Projects. </w:t>
            </w:r>
            <w:r w:rsidRPr="006C4D42">
              <w:rPr>
                <w:rFonts w:cstheme="minorHAnsi"/>
              </w:rPr>
              <w:br/>
            </w:r>
          </w:p>
        </w:tc>
        <w:tc>
          <w:tcPr>
            <w:tcW w:w="0" w:type="auto"/>
            <w:shd w:val="clear" w:color="auto" w:fill="auto"/>
          </w:tcPr>
          <w:p w:rsidR="006C4D42" w:rsidRPr="006C4D42" w:rsidRDefault="006C4D42" w:rsidP="005C64C5">
            <w:pPr>
              <w:pStyle w:val="ColorfulShading-Accent31"/>
              <w:spacing w:after="120" w:line="240" w:lineRule="auto"/>
              <w:ind w:left="0"/>
              <w:rPr>
                <w:rFonts w:asciiTheme="minorHAnsi" w:hAnsiTheme="minorHAnsi" w:cstheme="minorHAnsi"/>
              </w:rPr>
            </w:pPr>
            <w:r w:rsidRPr="006C4D42">
              <w:rPr>
                <w:rFonts w:asciiTheme="minorHAnsi" w:hAnsiTheme="minorHAnsi" w:cstheme="minorHAnsi"/>
              </w:rPr>
              <w:t>Ongoing</w:t>
            </w:r>
          </w:p>
        </w:tc>
      </w:tr>
      <w:tr w:rsidR="006C4D42" w:rsidRPr="006C4D42" w:rsidTr="005C64C5">
        <w:trPr>
          <w:trHeight w:val="411"/>
        </w:trPr>
        <w:tc>
          <w:tcPr>
            <w:tcW w:w="2972" w:type="dxa"/>
            <w:shd w:val="clear" w:color="auto" w:fill="auto"/>
          </w:tcPr>
          <w:p w:rsidR="006C4D42" w:rsidRPr="006C4D42" w:rsidRDefault="006C4D42" w:rsidP="005C64C5">
            <w:pPr>
              <w:rPr>
                <w:rFonts w:cstheme="minorHAnsi"/>
                <w:color w:val="000000"/>
              </w:rPr>
            </w:pPr>
            <w:r w:rsidRPr="006C4D42">
              <w:rPr>
                <w:rFonts w:cstheme="minorHAnsi"/>
                <w:b/>
                <w:bCs/>
                <w:color w:val="000000" w:themeColor="text1"/>
              </w:rPr>
              <w:t xml:space="preserve">2.8 Quiet space </w:t>
            </w:r>
            <w:r w:rsidRPr="006C4D42">
              <w:rPr>
                <w:rFonts w:cstheme="minorHAnsi"/>
              </w:rPr>
              <w:br/>
            </w:r>
            <w:r w:rsidRPr="006C4D42">
              <w:rPr>
                <w:rFonts w:cstheme="minorHAnsi"/>
                <w:color w:val="000000" w:themeColor="text1"/>
              </w:rPr>
              <w:t xml:space="preserve">Ensure quiet spaces are available for those with sensory sensitivities </w:t>
            </w:r>
          </w:p>
        </w:tc>
        <w:tc>
          <w:tcPr>
            <w:tcW w:w="5069" w:type="dxa"/>
          </w:tcPr>
          <w:p w:rsidR="006C4D42" w:rsidRPr="006C4D42" w:rsidRDefault="006C4D42" w:rsidP="005C64C5">
            <w:pPr>
              <w:spacing w:after="240"/>
              <w:rPr>
                <w:rFonts w:cstheme="minorHAnsi"/>
                <w:color w:val="000000"/>
              </w:rPr>
            </w:pPr>
            <w:r w:rsidRPr="006C4D42">
              <w:rPr>
                <w:rFonts w:cstheme="minorHAnsi"/>
                <w:color w:val="000000" w:themeColor="text1"/>
              </w:rPr>
              <w:t>2.8.1 Empower staff to be ready to offer options for people with sensory sensitivities depending on daily activity in the building.</w:t>
            </w:r>
          </w:p>
          <w:p w:rsidR="006C4D42" w:rsidRPr="006C4D42" w:rsidRDefault="006C4D42" w:rsidP="005C64C5">
            <w:pPr>
              <w:rPr>
                <w:rFonts w:cstheme="minorHAnsi"/>
                <w:color w:val="000000"/>
              </w:rPr>
            </w:pPr>
            <w:r w:rsidRPr="006C4D42">
              <w:rPr>
                <w:rFonts w:cstheme="minorHAnsi"/>
                <w:color w:val="000000" w:themeColor="text1"/>
              </w:rPr>
              <w:t xml:space="preserve">2.8.2 Scope the potential of becoming a member of the Sunflower Project. </w:t>
            </w:r>
          </w:p>
        </w:tc>
        <w:tc>
          <w:tcPr>
            <w:tcW w:w="0" w:type="auto"/>
            <w:shd w:val="clear" w:color="auto" w:fill="auto"/>
          </w:tcPr>
          <w:p w:rsidR="006C4D42" w:rsidRPr="006C4D42" w:rsidRDefault="006C4D42" w:rsidP="005C64C5">
            <w:pPr>
              <w:pStyle w:val="ColorfulShading-Accent31"/>
              <w:spacing w:after="120" w:line="240" w:lineRule="auto"/>
              <w:ind w:left="0"/>
              <w:rPr>
                <w:rFonts w:asciiTheme="minorHAnsi" w:hAnsiTheme="minorHAnsi" w:cstheme="minorHAnsi"/>
              </w:rPr>
            </w:pPr>
            <w:r w:rsidRPr="006C4D42">
              <w:rPr>
                <w:rFonts w:asciiTheme="minorHAnsi" w:hAnsiTheme="minorHAnsi" w:cstheme="minorHAnsi"/>
              </w:rPr>
              <w:t>2023</w:t>
            </w:r>
          </w:p>
          <w:p w:rsidR="006C4D42" w:rsidRPr="006C4D42" w:rsidRDefault="006C4D42" w:rsidP="005C64C5">
            <w:pPr>
              <w:pStyle w:val="ColorfulShading-Accent31"/>
              <w:spacing w:after="120" w:line="240" w:lineRule="auto"/>
              <w:ind w:left="0"/>
              <w:contextualSpacing w:val="0"/>
              <w:rPr>
                <w:rFonts w:asciiTheme="minorHAnsi" w:hAnsiTheme="minorHAnsi" w:cstheme="minorHAnsi"/>
              </w:rPr>
            </w:pPr>
          </w:p>
          <w:p w:rsidR="006C4D42" w:rsidRPr="006C4D42" w:rsidRDefault="006C4D42" w:rsidP="005C64C5">
            <w:pPr>
              <w:pStyle w:val="ColorfulShading-Accent31"/>
              <w:spacing w:after="120" w:line="240" w:lineRule="auto"/>
              <w:ind w:left="0"/>
              <w:contextualSpacing w:val="0"/>
              <w:rPr>
                <w:rFonts w:asciiTheme="minorHAnsi" w:hAnsiTheme="minorHAnsi" w:cstheme="minorHAnsi"/>
              </w:rPr>
            </w:pPr>
          </w:p>
          <w:p w:rsidR="006C4D42" w:rsidRPr="006C4D42" w:rsidRDefault="006C4D42" w:rsidP="005C64C5">
            <w:pPr>
              <w:pStyle w:val="ColorfulShading-Accent31"/>
              <w:spacing w:after="120" w:line="240" w:lineRule="auto"/>
              <w:ind w:left="0"/>
              <w:rPr>
                <w:rFonts w:asciiTheme="minorHAnsi" w:hAnsiTheme="minorHAnsi" w:cstheme="minorHAnsi"/>
              </w:rPr>
            </w:pPr>
            <w:r w:rsidRPr="006C4D42">
              <w:rPr>
                <w:rFonts w:asciiTheme="minorHAnsi" w:hAnsiTheme="minorHAnsi" w:cstheme="minorHAnsi"/>
              </w:rPr>
              <w:t>2024</w:t>
            </w:r>
          </w:p>
        </w:tc>
      </w:tr>
      <w:tr w:rsidR="006C4D42" w:rsidRPr="006C4D42" w:rsidTr="005C64C5">
        <w:trPr>
          <w:trHeight w:val="411"/>
        </w:trPr>
        <w:tc>
          <w:tcPr>
            <w:tcW w:w="2972" w:type="dxa"/>
            <w:shd w:val="clear" w:color="auto" w:fill="auto"/>
          </w:tcPr>
          <w:p w:rsidR="006C4D42" w:rsidRPr="006C4D42" w:rsidRDefault="006C4D42" w:rsidP="005C64C5">
            <w:pPr>
              <w:rPr>
                <w:rFonts w:cstheme="minorHAnsi"/>
                <w:color w:val="000000"/>
              </w:rPr>
            </w:pPr>
            <w:r w:rsidRPr="006C4D42">
              <w:rPr>
                <w:rFonts w:cstheme="minorHAnsi"/>
                <w:b/>
                <w:bCs/>
                <w:color w:val="000000" w:themeColor="text1"/>
              </w:rPr>
              <w:t xml:space="preserve">2.9 Shop </w:t>
            </w:r>
            <w:r w:rsidRPr="006C4D42">
              <w:rPr>
                <w:rFonts w:cstheme="minorHAnsi"/>
              </w:rPr>
              <w:br/>
            </w:r>
            <w:r w:rsidRPr="006C4D42">
              <w:rPr>
                <w:rFonts w:cstheme="minorHAnsi"/>
                <w:color w:val="000000" w:themeColor="text1"/>
              </w:rPr>
              <w:t xml:space="preserve">Ensure the shop is accessible for everyone </w:t>
            </w:r>
          </w:p>
        </w:tc>
        <w:tc>
          <w:tcPr>
            <w:tcW w:w="5069" w:type="dxa"/>
          </w:tcPr>
          <w:p w:rsidR="006C4D42" w:rsidRPr="006C4D42" w:rsidRDefault="006C4D42" w:rsidP="005C64C5">
            <w:pPr>
              <w:spacing w:after="240"/>
              <w:rPr>
                <w:rFonts w:cstheme="minorHAnsi"/>
                <w:color w:val="000000"/>
              </w:rPr>
            </w:pPr>
            <w:r w:rsidRPr="006C4D42">
              <w:rPr>
                <w:rFonts w:cstheme="minorHAnsi"/>
                <w:color w:val="000000" w:themeColor="text1"/>
              </w:rPr>
              <w:t xml:space="preserve">2.9.1 Review and consult with contractors regarding recommendations from the Walk and Talk Audit (provided by Accessible Arts) in relation to the shop. </w:t>
            </w:r>
          </w:p>
        </w:tc>
        <w:tc>
          <w:tcPr>
            <w:tcW w:w="0" w:type="auto"/>
            <w:shd w:val="clear" w:color="auto" w:fill="auto"/>
          </w:tcPr>
          <w:p w:rsidR="006C4D42" w:rsidRPr="006C4D42" w:rsidRDefault="006C4D42" w:rsidP="005C64C5">
            <w:pPr>
              <w:pStyle w:val="ColorfulShading-Accent31"/>
              <w:spacing w:after="120" w:line="240" w:lineRule="auto"/>
              <w:ind w:left="0"/>
              <w:contextualSpacing w:val="0"/>
              <w:rPr>
                <w:rFonts w:asciiTheme="minorHAnsi" w:hAnsiTheme="minorHAnsi" w:cstheme="minorHAnsi"/>
              </w:rPr>
            </w:pPr>
            <w:r w:rsidRPr="006C4D42">
              <w:rPr>
                <w:rFonts w:asciiTheme="minorHAnsi" w:hAnsiTheme="minorHAnsi" w:cstheme="minorHAnsi"/>
              </w:rPr>
              <w:t>2024</w:t>
            </w:r>
          </w:p>
        </w:tc>
      </w:tr>
      <w:tr w:rsidR="006C4D42" w:rsidRPr="006C4D42" w:rsidTr="005C64C5">
        <w:trPr>
          <w:trHeight w:val="411"/>
        </w:trPr>
        <w:tc>
          <w:tcPr>
            <w:tcW w:w="2972" w:type="dxa"/>
            <w:shd w:val="clear" w:color="auto" w:fill="auto"/>
          </w:tcPr>
          <w:p w:rsidR="006C4D42" w:rsidRPr="006C4D42" w:rsidRDefault="006C4D42" w:rsidP="005C64C5">
            <w:pPr>
              <w:rPr>
                <w:rFonts w:cstheme="minorHAnsi"/>
                <w:color w:val="000000"/>
              </w:rPr>
            </w:pPr>
            <w:r w:rsidRPr="006C4D42">
              <w:rPr>
                <w:rFonts w:cstheme="minorHAnsi"/>
                <w:b/>
                <w:bCs/>
                <w:color w:val="000000" w:themeColor="text1"/>
              </w:rPr>
              <w:t>2.10 Café</w:t>
            </w:r>
            <w:r w:rsidRPr="006C4D42">
              <w:rPr>
                <w:rFonts w:cstheme="minorHAnsi"/>
              </w:rPr>
              <w:br/>
            </w:r>
            <w:r w:rsidRPr="006C4D42">
              <w:rPr>
                <w:rFonts w:cstheme="minorHAnsi"/>
                <w:color w:val="000000" w:themeColor="text1"/>
              </w:rPr>
              <w:t xml:space="preserve">Ensure the café is accessible for everyone </w:t>
            </w:r>
          </w:p>
        </w:tc>
        <w:tc>
          <w:tcPr>
            <w:tcW w:w="5069" w:type="dxa"/>
          </w:tcPr>
          <w:p w:rsidR="006C4D42" w:rsidRPr="006C4D42" w:rsidRDefault="006C4D42" w:rsidP="005C64C5">
            <w:pPr>
              <w:rPr>
                <w:rFonts w:cstheme="minorHAnsi"/>
                <w:color w:val="000000"/>
              </w:rPr>
            </w:pPr>
            <w:r w:rsidRPr="006C4D42">
              <w:rPr>
                <w:rFonts w:cstheme="minorHAnsi"/>
                <w:color w:val="000000" w:themeColor="text1"/>
              </w:rPr>
              <w:t xml:space="preserve">2.10.1 Review and consult with contractors regarding recommendations from the Walk and Talk Audit (provided by Accessible Arts) in relation to the café. </w:t>
            </w:r>
          </w:p>
        </w:tc>
        <w:tc>
          <w:tcPr>
            <w:tcW w:w="0" w:type="auto"/>
            <w:shd w:val="clear" w:color="auto" w:fill="auto"/>
          </w:tcPr>
          <w:p w:rsidR="006C4D42" w:rsidRPr="006C4D42" w:rsidRDefault="006C4D42" w:rsidP="005C64C5">
            <w:pPr>
              <w:pStyle w:val="ColorfulShading-Accent31"/>
              <w:spacing w:after="120" w:line="240" w:lineRule="auto"/>
              <w:ind w:left="0"/>
              <w:contextualSpacing w:val="0"/>
              <w:rPr>
                <w:rFonts w:asciiTheme="minorHAnsi" w:hAnsiTheme="minorHAnsi" w:cstheme="minorHAnsi"/>
              </w:rPr>
            </w:pPr>
            <w:r w:rsidRPr="006C4D42">
              <w:rPr>
                <w:rFonts w:asciiTheme="minorHAnsi" w:hAnsiTheme="minorHAnsi" w:cstheme="minorHAnsi"/>
              </w:rPr>
              <w:t>2024</w:t>
            </w:r>
          </w:p>
        </w:tc>
      </w:tr>
      <w:tr w:rsidR="006C4D42" w:rsidRPr="006C4D42" w:rsidTr="005C64C5">
        <w:trPr>
          <w:trHeight w:val="1245"/>
        </w:trPr>
        <w:tc>
          <w:tcPr>
            <w:tcW w:w="2972" w:type="dxa"/>
            <w:shd w:val="clear" w:color="auto" w:fill="auto"/>
          </w:tcPr>
          <w:p w:rsidR="006C4D42" w:rsidRPr="006C4D42" w:rsidRDefault="006C4D42" w:rsidP="005C64C5">
            <w:pPr>
              <w:rPr>
                <w:rFonts w:cstheme="minorHAnsi"/>
                <w:color w:val="000000"/>
              </w:rPr>
            </w:pPr>
            <w:r w:rsidRPr="006C4D42">
              <w:rPr>
                <w:rFonts w:cstheme="minorHAnsi"/>
                <w:b/>
                <w:bCs/>
                <w:color w:val="000000" w:themeColor="text1"/>
              </w:rPr>
              <w:lastRenderedPageBreak/>
              <w:t>2.11 Lighting</w:t>
            </w:r>
            <w:r w:rsidRPr="006C4D42">
              <w:rPr>
                <w:rFonts w:cstheme="minorHAnsi"/>
              </w:rPr>
              <w:br/>
            </w:r>
            <w:r w:rsidRPr="006C4D42">
              <w:rPr>
                <w:rFonts w:cstheme="minorHAnsi"/>
                <w:color w:val="000000" w:themeColor="text1"/>
              </w:rPr>
              <w:t xml:space="preserve">Ensure lighting levels are safe and accessible for everyone </w:t>
            </w:r>
          </w:p>
        </w:tc>
        <w:tc>
          <w:tcPr>
            <w:tcW w:w="5069" w:type="dxa"/>
          </w:tcPr>
          <w:p w:rsidR="006C4D42" w:rsidRPr="006C4D42" w:rsidRDefault="006C4D42" w:rsidP="005C64C5">
            <w:pPr>
              <w:spacing w:after="240"/>
              <w:rPr>
                <w:rFonts w:cstheme="minorHAnsi"/>
                <w:color w:val="000000"/>
              </w:rPr>
            </w:pPr>
            <w:r w:rsidRPr="006C4D42">
              <w:rPr>
                <w:rFonts w:cstheme="minorHAnsi"/>
                <w:color w:val="000000" w:themeColor="text1"/>
              </w:rPr>
              <w:t xml:space="preserve">2.11.1 Communicate any flashing, </w:t>
            </w:r>
            <w:bookmarkStart w:id="4" w:name="_Int_xtPln2w4"/>
            <w:r w:rsidRPr="006C4D42">
              <w:rPr>
                <w:rFonts w:cstheme="minorHAnsi"/>
                <w:color w:val="000000" w:themeColor="text1"/>
              </w:rPr>
              <w:t>strobe</w:t>
            </w:r>
            <w:bookmarkEnd w:id="4"/>
            <w:r w:rsidRPr="006C4D42">
              <w:rPr>
                <w:rFonts w:cstheme="minorHAnsi"/>
                <w:color w:val="000000" w:themeColor="text1"/>
              </w:rPr>
              <w:t xml:space="preserve"> or low lighting with signage and on the Access page of the website.</w:t>
            </w:r>
          </w:p>
        </w:tc>
        <w:tc>
          <w:tcPr>
            <w:tcW w:w="0" w:type="auto"/>
            <w:shd w:val="clear" w:color="auto" w:fill="auto"/>
          </w:tcPr>
          <w:p w:rsidR="006C4D42" w:rsidRPr="006C4D42" w:rsidRDefault="006C4D42" w:rsidP="005C64C5">
            <w:pPr>
              <w:pStyle w:val="ColorfulShading-Accent31"/>
              <w:spacing w:after="120" w:line="240" w:lineRule="auto"/>
              <w:ind w:left="0"/>
              <w:rPr>
                <w:rFonts w:asciiTheme="minorHAnsi" w:hAnsiTheme="minorHAnsi" w:cstheme="minorHAnsi"/>
              </w:rPr>
            </w:pPr>
            <w:r w:rsidRPr="006C4D42">
              <w:rPr>
                <w:rFonts w:asciiTheme="minorHAnsi" w:hAnsiTheme="minorHAnsi" w:cstheme="minorHAnsi"/>
              </w:rPr>
              <w:t xml:space="preserve">Ongoing </w:t>
            </w:r>
          </w:p>
          <w:p w:rsidR="006C4D42" w:rsidRPr="006C4D42" w:rsidRDefault="006C4D42" w:rsidP="005C64C5">
            <w:pPr>
              <w:pStyle w:val="ColorfulShading-Accent31"/>
              <w:spacing w:after="120" w:line="240" w:lineRule="auto"/>
              <w:ind w:left="0"/>
              <w:contextualSpacing w:val="0"/>
              <w:rPr>
                <w:rFonts w:asciiTheme="minorHAnsi" w:hAnsiTheme="minorHAnsi" w:cstheme="minorHAnsi"/>
              </w:rPr>
            </w:pPr>
          </w:p>
          <w:p w:rsidR="006C4D42" w:rsidRPr="006C4D42" w:rsidRDefault="006C4D42" w:rsidP="005C64C5">
            <w:pPr>
              <w:pStyle w:val="ColorfulShading-Accent31"/>
              <w:spacing w:after="120" w:line="240" w:lineRule="auto"/>
              <w:ind w:left="0"/>
              <w:rPr>
                <w:rFonts w:asciiTheme="minorHAnsi" w:hAnsiTheme="minorHAnsi" w:cstheme="minorHAnsi"/>
              </w:rPr>
            </w:pPr>
          </w:p>
        </w:tc>
      </w:tr>
      <w:tr w:rsidR="006C4D42" w:rsidRPr="006C4D42" w:rsidTr="005C64C5">
        <w:trPr>
          <w:trHeight w:val="411"/>
        </w:trPr>
        <w:tc>
          <w:tcPr>
            <w:tcW w:w="2972" w:type="dxa"/>
            <w:shd w:val="clear" w:color="auto" w:fill="auto"/>
          </w:tcPr>
          <w:p w:rsidR="006C4D42" w:rsidRPr="006C4D42" w:rsidRDefault="006C4D42" w:rsidP="005C64C5">
            <w:pPr>
              <w:rPr>
                <w:rFonts w:cstheme="minorHAnsi"/>
                <w:color w:val="000000"/>
              </w:rPr>
            </w:pPr>
            <w:r w:rsidRPr="006C4D42">
              <w:rPr>
                <w:rFonts w:cstheme="minorHAnsi"/>
                <w:b/>
                <w:bCs/>
                <w:color w:val="000000" w:themeColor="text1"/>
              </w:rPr>
              <w:t xml:space="preserve">2.12 Queuing </w:t>
            </w:r>
            <w:r w:rsidRPr="006C4D42">
              <w:rPr>
                <w:rFonts w:cstheme="minorHAnsi"/>
              </w:rPr>
              <w:br/>
            </w:r>
            <w:r w:rsidRPr="006C4D42">
              <w:rPr>
                <w:rFonts w:cstheme="minorHAnsi"/>
                <w:color w:val="000000" w:themeColor="text1"/>
              </w:rPr>
              <w:t>Ensure strategies are in place for those who cannot stand to queue</w:t>
            </w:r>
          </w:p>
        </w:tc>
        <w:tc>
          <w:tcPr>
            <w:tcW w:w="5069" w:type="dxa"/>
          </w:tcPr>
          <w:p w:rsidR="006C4D42" w:rsidRPr="006C4D42" w:rsidRDefault="006C4D42" w:rsidP="005C64C5">
            <w:pPr>
              <w:rPr>
                <w:rFonts w:cstheme="minorHAnsi"/>
                <w:color w:val="000000"/>
              </w:rPr>
            </w:pPr>
            <w:r w:rsidRPr="006C4D42">
              <w:rPr>
                <w:rFonts w:cstheme="minorHAnsi"/>
                <w:color w:val="000000" w:themeColor="text1"/>
              </w:rPr>
              <w:t xml:space="preserve">2.12.1 Introduce a visible Priority Access Host to assist visitors who find waiting in a queue difficult, and promote on the website. </w:t>
            </w:r>
          </w:p>
        </w:tc>
        <w:tc>
          <w:tcPr>
            <w:tcW w:w="0" w:type="auto"/>
            <w:shd w:val="clear" w:color="auto" w:fill="auto"/>
          </w:tcPr>
          <w:p w:rsidR="006C4D42" w:rsidRPr="006C4D42" w:rsidRDefault="006C4D42" w:rsidP="005C64C5">
            <w:pPr>
              <w:pStyle w:val="ColorfulShading-Accent31"/>
              <w:spacing w:after="120" w:line="240" w:lineRule="auto"/>
              <w:ind w:left="0"/>
              <w:rPr>
                <w:rFonts w:asciiTheme="minorHAnsi" w:hAnsiTheme="minorHAnsi" w:cstheme="minorHAnsi"/>
              </w:rPr>
            </w:pPr>
            <w:r w:rsidRPr="006C4D42">
              <w:rPr>
                <w:rFonts w:asciiTheme="minorHAnsi" w:hAnsiTheme="minorHAnsi" w:cstheme="minorHAnsi"/>
              </w:rPr>
              <w:t>2024</w:t>
            </w:r>
          </w:p>
        </w:tc>
      </w:tr>
      <w:tr w:rsidR="006C4D42" w:rsidRPr="006C4D42" w:rsidTr="005C64C5">
        <w:trPr>
          <w:trHeight w:val="411"/>
        </w:trPr>
        <w:tc>
          <w:tcPr>
            <w:tcW w:w="2972" w:type="dxa"/>
            <w:shd w:val="clear" w:color="auto" w:fill="auto"/>
          </w:tcPr>
          <w:p w:rsidR="006C4D42" w:rsidRPr="006C4D42" w:rsidRDefault="006C4D42" w:rsidP="005C64C5">
            <w:pPr>
              <w:rPr>
                <w:rFonts w:cstheme="minorHAnsi"/>
                <w:color w:val="000000"/>
              </w:rPr>
            </w:pPr>
            <w:r w:rsidRPr="006C4D42">
              <w:rPr>
                <w:rFonts w:cstheme="minorHAnsi"/>
                <w:b/>
                <w:bCs/>
                <w:color w:val="000000" w:themeColor="text1"/>
              </w:rPr>
              <w:t>2.13 Seating</w:t>
            </w:r>
            <w:r w:rsidRPr="006C4D42">
              <w:rPr>
                <w:rFonts w:cstheme="minorHAnsi"/>
              </w:rPr>
              <w:br/>
            </w:r>
            <w:r w:rsidRPr="006C4D42">
              <w:rPr>
                <w:rFonts w:cstheme="minorHAnsi"/>
                <w:color w:val="000000" w:themeColor="text1"/>
              </w:rPr>
              <w:t xml:space="preserve">Provide appropriate seating </w:t>
            </w:r>
          </w:p>
          <w:p w:rsidR="006C4D42" w:rsidRPr="006C4D42" w:rsidRDefault="006C4D42" w:rsidP="005C64C5">
            <w:pPr>
              <w:rPr>
                <w:rFonts w:cstheme="minorHAnsi"/>
                <w:b/>
                <w:bCs/>
                <w:color w:val="000000"/>
              </w:rPr>
            </w:pPr>
          </w:p>
        </w:tc>
        <w:tc>
          <w:tcPr>
            <w:tcW w:w="5069" w:type="dxa"/>
          </w:tcPr>
          <w:p w:rsidR="006C4D42" w:rsidRPr="006C4D42" w:rsidRDefault="006C4D42" w:rsidP="005C64C5">
            <w:pPr>
              <w:spacing w:after="240"/>
              <w:rPr>
                <w:rFonts w:cstheme="minorHAnsi"/>
                <w:color w:val="000000"/>
              </w:rPr>
            </w:pPr>
            <w:r w:rsidRPr="006C4D42">
              <w:rPr>
                <w:rFonts w:cstheme="minorHAnsi"/>
                <w:color w:val="000000" w:themeColor="text1"/>
              </w:rPr>
              <w:t>2.13.1 Offer a variety of seating options within the Gallery spaces that offer a range of support.</w:t>
            </w:r>
          </w:p>
          <w:p w:rsidR="006C4D42" w:rsidRPr="006C4D42" w:rsidRDefault="006C4D42" w:rsidP="005C64C5">
            <w:pPr>
              <w:rPr>
                <w:rFonts w:cstheme="minorHAnsi"/>
                <w:color w:val="000000"/>
              </w:rPr>
            </w:pPr>
          </w:p>
        </w:tc>
        <w:tc>
          <w:tcPr>
            <w:tcW w:w="0" w:type="auto"/>
            <w:shd w:val="clear" w:color="auto" w:fill="auto"/>
          </w:tcPr>
          <w:p w:rsidR="006C4D42" w:rsidRPr="006C4D42" w:rsidRDefault="006C4D42" w:rsidP="005C64C5">
            <w:pPr>
              <w:pStyle w:val="ColorfulShading-Accent31"/>
              <w:spacing w:after="120" w:line="240" w:lineRule="auto"/>
              <w:ind w:left="0"/>
              <w:rPr>
                <w:rFonts w:asciiTheme="minorHAnsi" w:hAnsiTheme="minorHAnsi" w:cstheme="minorHAnsi"/>
              </w:rPr>
            </w:pPr>
            <w:r w:rsidRPr="006C4D42">
              <w:rPr>
                <w:rFonts w:asciiTheme="minorHAnsi" w:hAnsiTheme="minorHAnsi" w:cstheme="minorHAnsi"/>
              </w:rPr>
              <w:t>2024</w:t>
            </w:r>
          </w:p>
        </w:tc>
      </w:tr>
      <w:tr w:rsidR="006C4D42" w:rsidRPr="006C4D42" w:rsidTr="005C64C5">
        <w:trPr>
          <w:trHeight w:val="411"/>
        </w:trPr>
        <w:tc>
          <w:tcPr>
            <w:tcW w:w="2972" w:type="dxa"/>
            <w:shd w:val="clear" w:color="auto" w:fill="auto"/>
          </w:tcPr>
          <w:p w:rsidR="006C4D42" w:rsidRPr="006C4D42" w:rsidRDefault="006C4D42" w:rsidP="005C64C5">
            <w:pPr>
              <w:rPr>
                <w:rFonts w:cstheme="minorHAnsi"/>
                <w:color w:val="000000"/>
              </w:rPr>
            </w:pPr>
            <w:r w:rsidRPr="006C4D42">
              <w:rPr>
                <w:rFonts w:cstheme="minorHAnsi"/>
                <w:b/>
                <w:bCs/>
                <w:color w:val="000000" w:themeColor="text1"/>
              </w:rPr>
              <w:t xml:space="preserve">2.14 Artwork information </w:t>
            </w:r>
            <w:r w:rsidRPr="006C4D42">
              <w:rPr>
                <w:rFonts w:cstheme="minorHAnsi"/>
              </w:rPr>
              <w:br/>
            </w:r>
            <w:r w:rsidRPr="006C4D42">
              <w:rPr>
                <w:rFonts w:cstheme="minorHAnsi"/>
                <w:color w:val="000000" w:themeColor="text1"/>
              </w:rPr>
              <w:t xml:space="preserve">Provide information in a way that is accessible to people with a range of access requirements </w:t>
            </w:r>
          </w:p>
        </w:tc>
        <w:tc>
          <w:tcPr>
            <w:tcW w:w="5069" w:type="dxa"/>
          </w:tcPr>
          <w:p w:rsidR="006C4D42" w:rsidRPr="006C4D42" w:rsidRDefault="006C4D42" w:rsidP="005C64C5">
            <w:pPr>
              <w:spacing w:after="240"/>
              <w:rPr>
                <w:rFonts w:cstheme="minorHAnsi"/>
                <w:color w:val="000000"/>
              </w:rPr>
            </w:pPr>
            <w:r w:rsidRPr="006C4D42">
              <w:rPr>
                <w:rFonts w:cstheme="minorHAnsi"/>
                <w:color w:val="000000" w:themeColor="text1"/>
              </w:rPr>
              <w:t>2.14.1 Devise a Style Guide that all wall labels and touch displays would aim to incorporate for each exhibition (relating to text and design).</w:t>
            </w:r>
          </w:p>
          <w:p w:rsidR="006C4D42" w:rsidRPr="006C4D42" w:rsidRDefault="006C4D42" w:rsidP="005C64C5">
            <w:pPr>
              <w:rPr>
                <w:rFonts w:cstheme="minorHAnsi"/>
                <w:color w:val="000000"/>
              </w:rPr>
            </w:pPr>
            <w:r w:rsidRPr="006C4D42">
              <w:rPr>
                <w:rFonts w:cstheme="minorHAnsi"/>
                <w:color w:val="000000" w:themeColor="text1"/>
              </w:rPr>
              <w:t>2.14.2 Promote the use of large print label guides and the ‘Liberate the labels’ app for people to access content via other methods.</w:t>
            </w:r>
          </w:p>
          <w:p w:rsidR="006C4D42" w:rsidRPr="006C4D42" w:rsidRDefault="006C4D42" w:rsidP="005C64C5">
            <w:pPr>
              <w:rPr>
                <w:rFonts w:cstheme="minorHAnsi"/>
                <w:color w:val="000000" w:themeColor="text1"/>
              </w:rPr>
            </w:pPr>
          </w:p>
          <w:p w:rsidR="006C4D42" w:rsidRPr="006C4D42" w:rsidRDefault="006C4D42" w:rsidP="005C64C5">
            <w:pPr>
              <w:rPr>
                <w:rFonts w:cstheme="minorHAnsi"/>
                <w:color w:val="000000"/>
              </w:rPr>
            </w:pPr>
            <w:r w:rsidRPr="006C4D42">
              <w:rPr>
                <w:rFonts w:cstheme="minorHAnsi"/>
                <w:color w:val="000000" w:themeColor="text1"/>
              </w:rPr>
              <w:t xml:space="preserve">2.14.3 Continue to deliver different formats of information in apps to provide </w:t>
            </w:r>
            <w:bookmarkStart w:id="5" w:name="_Int_cGaVBkKZ"/>
            <w:r w:rsidRPr="006C4D42">
              <w:rPr>
                <w:rFonts w:cstheme="minorHAnsi"/>
                <w:color w:val="000000" w:themeColor="text1"/>
              </w:rPr>
              <w:t>different levels</w:t>
            </w:r>
            <w:bookmarkEnd w:id="5"/>
            <w:r w:rsidRPr="006C4D42">
              <w:rPr>
                <w:rFonts w:cstheme="minorHAnsi"/>
                <w:color w:val="000000" w:themeColor="text1"/>
              </w:rPr>
              <w:t xml:space="preserve"> of access.</w:t>
            </w:r>
          </w:p>
        </w:tc>
        <w:tc>
          <w:tcPr>
            <w:tcW w:w="0" w:type="auto"/>
            <w:shd w:val="clear" w:color="auto" w:fill="auto"/>
          </w:tcPr>
          <w:p w:rsidR="006C4D42" w:rsidRPr="006C4D42" w:rsidRDefault="006C4D42" w:rsidP="005C64C5">
            <w:pPr>
              <w:pStyle w:val="ColorfulShading-Accent31"/>
              <w:spacing w:after="120" w:line="240" w:lineRule="auto"/>
              <w:ind w:left="0"/>
              <w:contextualSpacing w:val="0"/>
              <w:rPr>
                <w:rFonts w:asciiTheme="minorHAnsi" w:hAnsiTheme="minorHAnsi" w:cstheme="minorHAnsi"/>
              </w:rPr>
            </w:pPr>
            <w:r w:rsidRPr="006C4D42">
              <w:rPr>
                <w:rFonts w:asciiTheme="minorHAnsi" w:hAnsiTheme="minorHAnsi" w:cstheme="minorHAnsi"/>
              </w:rPr>
              <w:t>2024</w:t>
            </w:r>
          </w:p>
          <w:p w:rsidR="006C4D42" w:rsidRPr="006C4D42" w:rsidRDefault="006C4D42" w:rsidP="005C64C5">
            <w:pPr>
              <w:pStyle w:val="ColorfulShading-Accent31"/>
              <w:spacing w:after="120" w:line="240" w:lineRule="auto"/>
              <w:ind w:left="0"/>
              <w:contextualSpacing w:val="0"/>
              <w:rPr>
                <w:rFonts w:asciiTheme="minorHAnsi" w:hAnsiTheme="minorHAnsi" w:cstheme="minorHAnsi"/>
              </w:rPr>
            </w:pPr>
          </w:p>
          <w:p w:rsidR="006C4D42" w:rsidRPr="006C4D42" w:rsidRDefault="006C4D42" w:rsidP="005C64C5">
            <w:pPr>
              <w:pStyle w:val="ColorfulShading-Accent31"/>
              <w:spacing w:after="120" w:line="240" w:lineRule="auto"/>
              <w:ind w:left="0"/>
              <w:contextualSpacing w:val="0"/>
              <w:rPr>
                <w:rFonts w:asciiTheme="minorHAnsi" w:hAnsiTheme="minorHAnsi" w:cstheme="minorHAnsi"/>
              </w:rPr>
            </w:pPr>
          </w:p>
          <w:p w:rsidR="006C4D42" w:rsidRPr="006C4D42" w:rsidRDefault="006C4D42" w:rsidP="005C64C5">
            <w:pPr>
              <w:pStyle w:val="ColorfulShading-Accent31"/>
              <w:spacing w:after="120" w:line="240" w:lineRule="auto"/>
              <w:ind w:left="0"/>
              <w:contextualSpacing w:val="0"/>
              <w:rPr>
                <w:rFonts w:asciiTheme="minorHAnsi" w:hAnsiTheme="minorHAnsi" w:cstheme="minorHAnsi"/>
              </w:rPr>
            </w:pPr>
            <w:r w:rsidRPr="006C4D42">
              <w:rPr>
                <w:rFonts w:asciiTheme="minorHAnsi" w:hAnsiTheme="minorHAnsi" w:cstheme="minorHAnsi"/>
              </w:rPr>
              <w:t>2024</w:t>
            </w:r>
          </w:p>
          <w:p w:rsidR="006C4D42" w:rsidRPr="006C4D42" w:rsidRDefault="006C4D42" w:rsidP="005C64C5">
            <w:pPr>
              <w:pStyle w:val="ColorfulShading-Accent31"/>
              <w:spacing w:after="120" w:line="240" w:lineRule="auto"/>
              <w:ind w:left="0"/>
              <w:contextualSpacing w:val="0"/>
              <w:rPr>
                <w:rFonts w:asciiTheme="minorHAnsi" w:hAnsiTheme="minorHAnsi" w:cstheme="minorHAnsi"/>
              </w:rPr>
            </w:pPr>
          </w:p>
          <w:p w:rsidR="006C4D42" w:rsidRPr="006C4D42" w:rsidRDefault="006C4D42" w:rsidP="005C64C5">
            <w:pPr>
              <w:pStyle w:val="ColorfulShading-Accent31"/>
              <w:spacing w:after="120" w:line="240" w:lineRule="auto"/>
              <w:ind w:left="0"/>
              <w:contextualSpacing w:val="0"/>
              <w:rPr>
                <w:rFonts w:asciiTheme="minorHAnsi" w:hAnsiTheme="minorHAnsi" w:cstheme="minorHAnsi"/>
              </w:rPr>
            </w:pPr>
            <w:r w:rsidRPr="006C4D42">
              <w:rPr>
                <w:rFonts w:asciiTheme="minorHAnsi" w:hAnsiTheme="minorHAnsi" w:cstheme="minorHAnsi"/>
              </w:rPr>
              <w:t>2024</w:t>
            </w:r>
          </w:p>
        </w:tc>
      </w:tr>
    </w:tbl>
    <w:p w:rsidR="00AD6319" w:rsidRPr="006C4D42" w:rsidRDefault="00AD6319" w:rsidP="009A0950">
      <w:pPr>
        <w:rPr>
          <w:rFonts w:cstheme="minorHAnsi"/>
          <w:sz w:val="24"/>
          <w:szCs w:val="24"/>
        </w:rPr>
      </w:pPr>
    </w:p>
    <w:p w:rsidR="009A0950" w:rsidRPr="006C4D42" w:rsidRDefault="009A0950" w:rsidP="009A0950">
      <w:pPr>
        <w:rPr>
          <w:rFonts w:cstheme="minorHAnsi"/>
          <w:b/>
          <w:sz w:val="24"/>
          <w:szCs w:val="24"/>
        </w:rPr>
      </w:pPr>
      <w:r w:rsidRPr="006C4D42">
        <w:rPr>
          <w:rFonts w:cstheme="minorHAnsi"/>
          <w:b/>
          <w:sz w:val="24"/>
          <w:szCs w:val="24"/>
        </w:rPr>
        <w:t xml:space="preserve">Key Outcome Area 3: </w:t>
      </w:r>
      <w:r w:rsidRPr="006C4D42">
        <w:rPr>
          <w:rFonts w:cstheme="minorHAnsi"/>
          <w:b/>
          <w:bCs/>
          <w:sz w:val="24"/>
          <w:szCs w:val="24"/>
        </w:rPr>
        <w:t>Employment</w:t>
      </w:r>
    </w:p>
    <w:p w:rsidR="009A0950" w:rsidRPr="006C4D42" w:rsidRDefault="009A0950" w:rsidP="009A0950">
      <w:pPr>
        <w:rPr>
          <w:rFonts w:cstheme="minorHAnsi"/>
          <w:sz w:val="24"/>
          <w:szCs w:val="24"/>
        </w:rPr>
      </w:pPr>
      <w:r w:rsidRPr="006C4D42">
        <w:rPr>
          <w:rFonts w:cstheme="minorHAnsi"/>
          <w:sz w:val="24"/>
          <w:szCs w:val="24"/>
        </w:rPr>
        <w:t>Employment rates for people with disability are significantly lower than for people without disability. People with disability experience multiple barriers at all stages of the employment process, ranging from inaccessible interview venues, lack of reasonable adjustments to the work environment, rigid role descriptions and online testing that may place applicants at a disadvantage. These factors reduce their opportunities to gain and retain employment. Research indicates that organisational commitment to workforce equality and inclusion is closely linked to strong business performance.</w:t>
      </w:r>
    </w:p>
    <w:p w:rsidR="007E1964" w:rsidRPr="006C4D42" w:rsidRDefault="009A0950" w:rsidP="009A0950">
      <w:pPr>
        <w:rPr>
          <w:rFonts w:cstheme="minorHAnsi"/>
          <w:sz w:val="24"/>
          <w:szCs w:val="24"/>
        </w:rPr>
      </w:pPr>
      <w:r w:rsidRPr="006C4D42">
        <w:rPr>
          <w:rFonts w:cstheme="minorHAnsi"/>
          <w:sz w:val="24"/>
          <w:szCs w:val="24"/>
        </w:rPr>
        <w:t>Goal: We are committed to diversity and inclusion in our staff cohort, with people with disability having the opportunity to gain and retain employment within an accessible environment and an inclusive workplace culture.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3"/>
        <w:gridCol w:w="5047"/>
        <w:gridCol w:w="1006"/>
      </w:tblGrid>
      <w:tr w:rsidR="006C4D42" w:rsidRPr="006C4D42" w:rsidTr="005C64C5">
        <w:trPr>
          <w:trHeight w:val="256"/>
        </w:trPr>
        <w:tc>
          <w:tcPr>
            <w:tcW w:w="2972" w:type="dxa"/>
            <w:shd w:val="clear" w:color="auto" w:fill="auto"/>
          </w:tcPr>
          <w:p w:rsidR="006C4D42" w:rsidRPr="006C4D42" w:rsidRDefault="006C4D42" w:rsidP="005C64C5">
            <w:pPr>
              <w:rPr>
                <w:rFonts w:cstheme="minorHAnsi"/>
              </w:rPr>
            </w:pPr>
            <w:r w:rsidRPr="006C4D42">
              <w:rPr>
                <w:rFonts w:eastAsia="Times New Roman" w:cstheme="minorHAnsi"/>
                <w:b/>
                <w:bCs/>
                <w:color w:val="000000"/>
              </w:rPr>
              <w:t>Objective</w:t>
            </w:r>
          </w:p>
        </w:tc>
        <w:tc>
          <w:tcPr>
            <w:tcW w:w="5069" w:type="dxa"/>
          </w:tcPr>
          <w:p w:rsidR="006C4D42" w:rsidRPr="006C4D42" w:rsidRDefault="006C4D42" w:rsidP="005C64C5">
            <w:pPr>
              <w:rPr>
                <w:rFonts w:cstheme="minorHAnsi"/>
              </w:rPr>
            </w:pPr>
            <w:r w:rsidRPr="006C4D42">
              <w:rPr>
                <w:rFonts w:cstheme="minorHAnsi"/>
                <w:b/>
              </w:rPr>
              <w:t>Action</w:t>
            </w:r>
          </w:p>
        </w:tc>
        <w:tc>
          <w:tcPr>
            <w:tcW w:w="0" w:type="auto"/>
            <w:shd w:val="clear" w:color="auto" w:fill="auto"/>
          </w:tcPr>
          <w:p w:rsidR="006C4D42" w:rsidRPr="006C4D42" w:rsidRDefault="006C4D42" w:rsidP="005C64C5">
            <w:pPr>
              <w:spacing w:after="120"/>
              <w:rPr>
                <w:rFonts w:cstheme="minorHAnsi"/>
                <w:b/>
              </w:rPr>
            </w:pPr>
            <w:r w:rsidRPr="006C4D42">
              <w:rPr>
                <w:rFonts w:cstheme="minorHAnsi"/>
                <w:b/>
              </w:rPr>
              <w:t>Timeline</w:t>
            </w:r>
          </w:p>
        </w:tc>
      </w:tr>
      <w:tr w:rsidR="006C4D42" w:rsidRPr="006C4D42" w:rsidTr="005C64C5">
        <w:trPr>
          <w:trHeight w:val="653"/>
        </w:trPr>
        <w:tc>
          <w:tcPr>
            <w:tcW w:w="2972" w:type="dxa"/>
            <w:shd w:val="clear" w:color="auto" w:fill="auto"/>
          </w:tcPr>
          <w:p w:rsidR="006C4D42" w:rsidRPr="006C4D42" w:rsidRDefault="006C4D42" w:rsidP="005C64C5">
            <w:pPr>
              <w:rPr>
                <w:rFonts w:cstheme="minorHAnsi"/>
                <w:color w:val="000000"/>
              </w:rPr>
            </w:pPr>
            <w:r w:rsidRPr="006C4D42">
              <w:rPr>
                <w:rFonts w:cstheme="minorHAnsi"/>
                <w:b/>
                <w:bCs/>
                <w:color w:val="000000" w:themeColor="text1"/>
              </w:rPr>
              <w:t>3.1 Disability employment</w:t>
            </w:r>
            <w:r w:rsidRPr="006C4D42">
              <w:rPr>
                <w:rFonts w:cstheme="minorHAnsi"/>
              </w:rPr>
              <w:br/>
            </w:r>
            <w:r w:rsidRPr="006C4D42">
              <w:rPr>
                <w:rFonts w:cstheme="minorHAnsi"/>
                <w:color w:val="000000" w:themeColor="text1"/>
              </w:rPr>
              <w:t xml:space="preserve">Increase the number of </w:t>
            </w:r>
            <w:proofErr w:type="gramStart"/>
            <w:r w:rsidRPr="006C4D42">
              <w:rPr>
                <w:rFonts w:cstheme="minorHAnsi"/>
                <w:color w:val="000000" w:themeColor="text1"/>
              </w:rPr>
              <w:t>staff</w:t>
            </w:r>
            <w:proofErr w:type="gramEnd"/>
            <w:r w:rsidRPr="006C4D42">
              <w:rPr>
                <w:rFonts w:cstheme="minorHAnsi"/>
                <w:color w:val="000000" w:themeColor="text1"/>
              </w:rPr>
              <w:t xml:space="preserve"> with disability and ensure job </w:t>
            </w:r>
            <w:r w:rsidRPr="006C4D42">
              <w:rPr>
                <w:rFonts w:cstheme="minorHAnsi"/>
                <w:color w:val="000000" w:themeColor="text1"/>
              </w:rPr>
              <w:lastRenderedPageBreak/>
              <w:t xml:space="preserve">advertisements are shared widely and in accessible places  </w:t>
            </w:r>
          </w:p>
          <w:p w:rsidR="006C4D42" w:rsidRPr="006C4D42" w:rsidRDefault="006C4D42" w:rsidP="005C64C5">
            <w:pPr>
              <w:rPr>
                <w:rFonts w:eastAsia="Times New Roman" w:cstheme="minorHAnsi"/>
                <w:b/>
                <w:bCs/>
                <w:color w:val="000000"/>
              </w:rPr>
            </w:pPr>
          </w:p>
        </w:tc>
        <w:tc>
          <w:tcPr>
            <w:tcW w:w="5069" w:type="dxa"/>
          </w:tcPr>
          <w:p w:rsidR="006C4D42" w:rsidRPr="006C4D42" w:rsidRDefault="006C4D42" w:rsidP="005C64C5">
            <w:pPr>
              <w:rPr>
                <w:rFonts w:cstheme="minorHAnsi"/>
                <w:color w:val="000000"/>
              </w:rPr>
            </w:pPr>
            <w:r w:rsidRPr="006C4D42">
              <w:rPr>
                <w:rFonts w:cstheme="minorHAnsi"/>
                <w:color w:val="000000" w:themeColor="text1"/>
              </w:rPr>
              <w:lastRenderedPageBreak/>
              <w:t xml:space="preserve">3.1.1 Develop a strategy/policy, in alignment with the APS (Australian Public Service) Disability Employment Strategy, to attract, recruit and retain more people with disability. </w:t>
            </w:r>
          </w:p>
          <w:p w:rsidR="006C4D42" w:rsidRPr="006C4D42" w:rsidRDefault="006C4D42" w:rsidP="005C64C5">
            <w:pPr>
              <w:rPr>
                <w:rFonts w:cstheme="minorHAnsi"/>
                <w:color w:val="000000" w:themeColor="text1"/>
              </w:rPr>
            </w:pPr>
            <w:r w:rsidRPr="006C4D42">
              <w:rPr>
                <w:rFonts w:cstheme="minorHAnsi"/>
                <w:color w:val="000000" w:themeColor="text1"/>
              </w:rPr>
              <w:lastRenderedPageBreak/>
              <w:t xml:space="preserve">3.1.2 Implement Access Statements in induction processes for staff and external providers. </w:t>
            </w:r>
            <w:r w:rsidRPr="006C4D42">
              <w:rPr>
                <w:rFonts w:cstheme="minorHAnsi"/>
                <w:color w:val="000000" w:themeColor="text1"/>
              </w:rPr>
              <w:br/>
            </w:r>
          </w:p>
          <w:p w:rsidR="006C4D42" w:rsidRPr="006C4D42" w:rsidRDefault="006C4D42" w:rsidP="005C64C5">
            <w:pPr>
              <w:rPr>
                <w:rFonts w:cstheme="minorHAnsi"/>
                <w:color w:val="000000" w:themeColor="text1"/>
              </w:rPr>
            </w:pPr>
            <w:r w:rsidRPr="006C4D42">
              <w:rPr>
                <w:rFonts w:cstheme="minorHAnsi"/>
                <w:color w:val="000000" w:themeColor="text1"/>
              </w:rPr>
              <w:t>3.1.3 Scope the potential to offer more internships for people with disability.</w:t>
            </w:r>
          </w:p>
          <w:p w:rsidR="006C4D42" w:rsidRPr="006C4D42" w:rsidRDefault="006C4D42" w:rsidP="005C64C5">
            <w:pPr>
              <w:rPr>
                <w:rFonts w:cstheme="minorHAnsi"/>
                <w:color w:val="000000" w:themeColor="text1"/>
              </w:rPr>
            </w:pPr>
          </w:p>
          <w:p w:rsidR="006C4D42" w:rsidRPr="006C4D42" w:rsidRDefault="006C4D42" w:rsidP="005C64C5">
            <w:pPr>
              <w:rPr>
                <w:rFonts w:cstheme="minorHAnsi"/>
                <w:color w:val="000000"/>
              </w:rPr>
            </w:pPr>
            <w:r w:rsidRPr="006C4D42">
              <w:rPr>
                <w:rFonts w:cstheme="minorHAnsi"/>
                <w:color w:val="000000" w:themeColor="text1"/>
              </w:rPr>
              <w:t xml:space="preserve">3.1.4 Review where jobs advertisements are distributed and in what format to ensure they are accessible.  </w:t>
            </w:r>
          </w:p>
        </w:tc>
        <w:tc>
          <w:tcPr>
            <w:tcW w:w="0" w:type="auto"/>
            <w:shd w:val="clear" w:color="auto" w:fill="auto"/>
          </w:tcPr>
          <w:p w:rsidR="006C4D42" w:rsidRPr="006C4D42" w:rsidRDefault="006C4D42" w:rsidP="005C64C5">
            <w:pPr>
              <w:rPr>
                <w:rFonts w:cstheme="minorHAnsi"/>
              </w:rPr>
            </w:pPr>
            <w:r w:rsidRPr="006C4D42">
              <w:rPr>
                <w:rFonts w:cstheme="minorHAnsi"/>
              </w:rPr>
              <w:lastRenderedPageBreak/>
              <w:t>2023</w:t>
            </w:r>
          </w:p>
          <w:p w:rsidR="006C4D42" w:rsidRPr="006C4D42" w:rsidRDefault="006C4D42" w:rsidP="005C64C5">
            <w:pPr>
              <w:rPr>
                <w:rFonts w:cstheme="minorHAnsi"/>
              </w:rPr>
            </w:pPr>
          </w:p>
          <w:p w:rsidR="006C4D42" w:rsidRPr="006C4D42" w:rsidRDefault="006C4D42" w:rsidP="005C64C5">
            <w:pPr>
              <w:rPr>
                <w:rFonts w:cstheme="minorHAnsi"/>
              </w:rPr>
            </w:pPr>
          </w:p>
          <w:p w:rsidR="006C4D42" w:rsidRPr="006C4D42" w:rsidRDefault="006C4D42" w:rsidP="005C64C5">
            <w:pPr>
              <w:rPr>
                <w:rFonts w:cstheme="minorHAnsi"/>
              </w:rPr>
            </w:pPr>
          </w:p>
          <w:p w:rsidR="006C4D42" w:rsidRPr="006C4D42" w:rsidRDefault="006C4D42" w:rsidP="005C64C5">
            <w:pPr>
              <w:rPr>
                <w:rFonts w:cstheme="minorHAnsi"/>
              </w:rPr>
            </w:pPr>
          </w:p>
          <w:p w:rsidR="006C4D42" w:rsidRPr="006C4D42" w:rsidRDefault="006C4D42" w:rsidP="005C64C5">
            <w:pPr>
              <w:rPr>
                <w:rFonts w:cstheme="minorHAnsi"/>
              </w:rPr>
            </w:pPr>
          </w:p>
          <w:p w:rsidR="006C4D42" w:rsidRPr="006C4D42" w:rsidRDefault="006C4D42" w:rsidP="005C64C5">
            <w:pPr>
              <w:rPr>
                <w:rFonts w:cstheme="minorHAnsi"/>
              </w:rPr>
            </w:pPr>
            <w:r w:rsidRPr="006C4D42">
              <w:rPr>
                <w:rFonts w:cstheme="minorHAnsi"/>
              </w:rPr>
              <w:t>2024</w:t>
            </w:r>
          </w:p>
          <w:p w:rsidR="006C4D42" w:rsidRPr="006C4D42" w:rsidRDefault="006C4D42" w:rsidP="005C64C5">
            <w:pPr>
              <w:rPr>
                <w:rFonts w:cstheme="minorHAnsi"/>
              </w:rPr>
            </w:pPr>
          </w:p>
          <w:p w:rsidR="006C4D42" w:rsidRPr="006C4D42" w:rsidRDefault="006C4D42" w:rsidP="005C64C5">
            <w:pPr>
              <w:rPr>
                <w:rFonts w:cstheme="minorHAnsi"/>
              </w:rPr>
            </w:pPr>
          </w:p>
          <w:p w:rsidR="006C4D42" w:rsidRPr="006C4D42" w:rsidRDefault="006C4D42" w:rsidP="005C64C5">
            <w:pPr>
              <w:rPr>
                <w:rFonts w:cstheme="minorHAnsi"/>
              </w:rPr>
            </w:pPr>
            <w:r w:rsidRPr="006C4D42">
              <w:rPr>
                <w:rFonts w:cstheme="minorHAnsi"/>
              </w:rPr>
              <w:t>2024</w:t>
            </w:r>
          </w:p>
          <w:p w:rsidR="006C4D42" w:rsidRPr="006C4D42" w:rsidRDefault="006C4D42" w:rsidP="005C64C5">
            <w:pPr>
              <w:rPr>
                <w:rFonts w:cstheme="minorHAnsi"/>
              </w:rPr>
            </w:pPr>
          </w:p>
          <w:p w:rsidR="006C4D42" w:rsidRPr="006C4D42" w:rsidRDefault="006C4D42" w:rsidP="005C64C5">
            <w:pPr>
              <w:rPr>
                <w:rFonts w:cstheme="minorHAnsi"/>
              </w:rPr>
            </w:pPr>
          </w:p>
          <w:p w:rsidR="006C4D42" w:rsidRPr="006C4D42" w:rsidRDefault="006C4D42" w:rsidP="005C64C5">
            <w:pPr>
              <w:rPr>
                <w:rFonts w:cstheme="minorHAnsi"/>
              </w:rPr>
            </w:pPr>
            <w:r w:rsidRPr="006C4D42">
              <w:rPr>
                <w:rFonts w:cstheme="minorHAnsi"/>
              </w:rPr>
              <w:t>2023</w:t>
            </w:r>
          </w:p>
        </w:tc>
      </w:tr>
      <w:tr w:rsidR="006C4D42" w:rsidRPr="006C4D42" w:rsidTr="005C64C5">
        <w:trPr>
          <w:trHeight w:val="411"/>
        </w:trPr>
        <w:tc>
          <w:tcPr>
            <w:tcW w:w="2972" w:type="dxa"/>
            <w:shd w:val="clear" w:color="auto" w:fill="auto"/>
          </w:tcPr>
          <w:p w:rsidR="006C4D42" w:rsidRPr="006C4D42" w:rsidRDefault="006C4D42" w:rsidP="005C64C5">
            <w:pPr>
              <w:rPr>
                <w:rFonts w:cstheme="minorHAnsi"/>
                <w:color w:val="000000"/>
              </w:rPr>
            </w:pPr>
            <w:r w:rsidRPr="006C4D42">
              <w:rPr>
                <w:rFonts w:cstheme="minorHAnsi"/>
                <w:b/>
                <w:bCs/>
                <w:color w:val="000000" w:themeColor="text1"/>
              </w:rPr>
              <w:lastRenderedPageBreak/>
              <w:t>3.2 Accessible work environment</w:t>
            </w:r>
            <w:r w:rsidRPr="006C4D42">
              <w:rPr>
                <w:rFonts w:cstheme="minorHAnsi"/>
              </w:rPr>
              <w:br/>
            </w:r>
            <w:r w:rsidRPr="006C4D42">
              <w:rPr>
                <w:rFonts w:cstheme="minorHAnsi"/>
                <w:color w:val="000000" w:themeColor="text1"/>
              </w:rPr>
              <w:t xml:space="preserve">Ensure the Gallery's workplace is accessible for people with disability </w:t>
            </w:r>
          </w:p>
        </w:tc>
        <w:tc>
          <w:tcPr>
            <w:tcW w:w="5069" w:type="dxa"/>
          </w:tcPr>
          <w:p w:rsidR="006C4D42" w:rsidRPr="006C4D42" w:rsidRDefault="006C4D42" w:rsidP="005C64C5">
            <w:pPr>
              <w:rPr>
                <w:rFonts w:cstheme="minorHAnsi"/>
                <w:color w:val="000000"/>
              </w:rPr>
            </w:pPr>
            <w:r w:rsidRPr="006C4D42">
              <w:rPr>
                <w:rFonts w:cstheme="minorHAnsi"/>
                <w:color w:val="000000" w:themeColor="text1"/>
              </w:rPr>
              <w:t xml:space="preserve">3.2.1 Conduct an Access Audit of staff areas to identify barriers and implement solutions. </w:t>
            </w:r>
          </w:p>
          <w:p w:rsidR="006C4D42" w:rsidRPr="006C4D42" w:rsidRDefault="006C4D42" w:rsidP="005C64C5">
            <w:pPr>
              <w:rPr>
                <w:rFonts w:cstheme="minorHAnsi"/>
                <w:color w:val="000000" w:themeColor="text1"/>
              </w:rPr>
            </w:pPr>
          </w:p>
          <w:p w:rsidR="006C4D42" w:rsidRPr="006C4D42" w:rsidRDefault="006C4D42" w:rsidP="005C64C5">
            <w:pPr>
              <w:rPr>
                <w:rFonts w:cstheme="minorHAnsi"/>
                <w:color w:val="000000"/>
              </w:rPr>
            </w:pPr>
          </w:p>
        </w:tc>
        <w:tc>
          <w:tcPr>
            <w:tcW w:w="0" w:type="auto"/>
            <w:shd w:val="clear" w:color="auto" w:fill="auto"/>
          </w:tcPr>
          <w:p w:rsidR="006C4D42" w:rsidRPr="006C4D42" w:rsidRDefault="006C4D42" w:rsidP="005C64C5">
            <w:pPr>
              <w:pStyle w:val="ColorfulShading-Accent31"/>
              <w:spacing w:after="120" w:line="240" w:lineRule="auto"/>
              <w:ind w:left="0"/>
              <w:contextualSpacing w:val="0"/>
              <w:rPr>
                <w:rFonts w:asciiTheme="minorHAnsi" w:hAnsiTheme="minorHAnsi" w:cstheme="minorHAnsi"/>
              </w:rPr>
            </w:pPr>
            <w:r w:rsidRPr="006C4D42">
              <w:rPr>
                <w:rFonts w:asciiTheme="minorHAnsi" w:hAnsiTheme="minorHAnsi" w:cstheme="minorHAnsi"/>
              </w:rPr>
              <w:t>2024</w:t>
            </w:r>
          </w:p>
          <w:p w:rsidR="006C4D42" w:rsidRPr="006C4D42" w:rsidRDefault="006C4D42" w:rsidP="005C64C5">
            <w:pPr>
              <w:pStyle w:val="ColorfulShading-Accent31"/>
              <w:spacing w:after="120" w:line="240" w:lineRule="auto"/>
              <w:ind w:left="0"/>
              <w:rPr>
                <w:rFonts w:asciiTheme="minorHAnsi" w:hAnsiTheme="minorHAnsi" w:cstheme="minorHAnsi"/>
              </w:rPr>
            </w:pPr>
          </w:p>
        </w:tc>
      </w:tr>
      <w:tr w:rsidR="006C4D42" w:rsidRPr="006C4D42" w:rsidTr="005C64C5">
        <w:trPr>
          <w:trHeight w:val="411"/>
        </w:trPr>
        <w:tc>
          <w:tcPr>
            <w:tcW w:w="2972" w:type="dxa"/>
            <w:shd w:val="clear" w:color="auto" w:fill="auto"/>
          </w:tcPr>
          <w:p w:rsidR="006C4D42" w:rsidRPr="006C4D42" w:rsidRDefault="006C4D42" w:rsidP="005C64C5">
            <w:pPr>
              <w:rPr>
                <w:rFonts w:cstheme="minorHAnsi"/>
                <w:color w:val="000000"/>
              </w:rPr>
            </w:pPr>
            <w:r w:rsidRPr="006C4D42">
              <w:rPr>
                <w:rFonts w:cstheme="minorHAnsi"/>
                <w:b/>
                <w:bCs/>
                <w:color w:val="000000" w:themeColor="text1"/>
              </w:rPr>
              <w:t xml:space="preserve">3.3 Contractors </w:t>
            </w:r>
            <w:r w:rsidRPr="006C4D42">
              <w:rPr>
                <w:rFonts w:cstheme="minorHAnsi"/>
              </w:rPr>
              <w:br/>
            </w:r>
            <w:r w:rsidRPr="006C4D42">
              <w:rPr>
                <w:rFonts w:cstheme="minorHAnsi"/>
                <w:color w:val="000000" w:themeColor="text1"/>
              </w:rPr>
              <w:t xml:space="preserve">Ensure contractors share similar values and knowledge around access and inclusion </w:t>
            </w:r>
          </w:p>
        </w:tc>
        <w:tc>
          <w:tcPr>
            <w:tcW w:w="5069" w:type="dxa"/>
          </w:tcPr>
          <w:p w:rsidR="006C4D42" w:rsidRPr="006C4D42" w:rsidRDefault="006C4D42" w:rsidP="005C64C5">
            <w:pPr>
              <w:rPr>
                <w:rFonts w:cstheme="minorHAnsi"/>
                <w:color w:val="000000"/>
              </w:rPr>
            </w:pPr>
            <w:r w:rsidRPr="006C4D42">
              <w:rPr>
                <w:rFonts w:cstheme="minorHAnsi"/>
                <w:color w:val="000000" w:themeColor="text1"/>
              </w:rPr>
              <w:t xml:space="preserve">3.3.1 Offer disability awareness training to café, shop and security staff. </w:t>
            </w:r>
          </w:p>
          <w:p w:rsidR="006C4D42" w:rsidRPr="006C4D42" w:rsidRDefault="006C4D42" w:rsidP="005C64C5">
            <w:pPr>
              <w:spacing w:after="240"/>
              <w:rPr>
                <w:rFonts w:cstheme="minorHAnsi"/>
                <w:color w:val="000000"/>
              </w:rPr>
            </w:pPr>
          </w:p>
        </w:tc>
        <w:tc>
          <w:tcPr>
            <w:tcW w:w="0" w:type="auto"/>
            <w:shd w:val="clear" w:color="auto" w:fill="auto"/>
          </w:tcPr>
          <w:p w:rsidR="006C4D42" w:rsidRPr="006C4D42" w:rsidRDefault="006C4D42" w:rsidP="005C64C5">
            <w:pPr>
              <w:pStyle w:val="ColorfulShading-Accent31"/>
              <w:spacing w:after="120" w:line="240" w:lineRule="auto"/>
              <w:ind w:left="0"/>
              <w:contextualSpacing w:val="0"/>
              <w:rPr>
                <w:rFonts w:asciiTheme="minorHAnsi" w:hAnsiTheme="minorHAnsi" w:cstheme="minorHAnsi"/>
              </w:rPr>
            </w:pPr>
            <w:r w:rsidRPr="006C4D42">
              <w:rPr>
                <w:rFonts w:asciiTheme="minorHAnsi" w:hAnsiTheme="minorHAnsi" w:cstheme="minorHAnsi"/>
              </w:rPr>
              <w:t>2023</w:t>
            </w:r>
          </w:p>
        </w:tc>
      </w:tr>
    </w:tbl>
    <w:p w:rsidR="00EB47F4" w:rsidRPr="006C4D42" w:rsidRDefault="00EB47F4" w:rsidP="009A0950">
      <w:pPr>
        <w:rPr>
          <w:rFonts w:cstheme="minorHAnsi"/>
          <w:sz w:val="24"/>
          <w:szCs w:val="24"/>
        </w:rPr>
      </w:pPr>
    </w:p>
    <w:p w:rsidR="003541D1" w:rsidRPr="006C4D42" w:rsidRDefault="003541D1" w:rsidP="003541D1">
      <w:pPr>
        <w:rPr>
          <w:rFonts w:cstheme="minorHAnsi"/>
          <w:b/>
          <w:sz w:val="24"/>
          <w:szCs w:val="24"/>
        </w:rPr>
      </w:pPr>
      <w:r w:rsidRPr="006C4D42">
        <w:rPr>
          <w:rFonts w:cstheme="minorHAnsi"/>
          <w:b/>
          <w:sz w:val="24"/>
          <w:szCs w:val="24"/>
        </w:rPr>
        <w:t xml:space="preserve">Key Outcome Area 4: </w:t>
      </w:r>
      <w:r w:rsidRPr="006C4D42">
        <w:rPr>
          <w:rFonts w:cstheme="minorHAnsi"/>
          <w:b/>
          <w:bCs/>
          <w:sz w:val="24"/>
          <w:szCs w:val="24"/>
        </w:rPr>
        <w:t>Systems and processes</w:t>
      </w:r>
    </w:p>
    <w:p w:rsidR="003541D1" w:rsidRPr="006C4D42" w:rsidRDefault="003541D1" w:rsidP="003541D1">
      <w:pPr>
        <w:rPr>
          <w:rFonts w:cstheme="minorHAnsi"/>
          <w:sz w:val="24"/>
          <w:szCs w:val="24"/>
        </w:rPr>
      </w:pPr>
      <w:r w:rsidRPr="006C4D42">
        <w:rPr>
          <w:rFonts w:cstheme="minorHAnsi"/>
          <w:sz w:val="24"/>
          <w:szCs w:val="24"/>
        </w:rPr>
        <w:t>A common barrier for people with disability is the difficulty navigating systems and processes to access the services, venues and support they need in the community. This could include accessing information, communication, or lack of options to access services.</w:t>
      </w:r>
    </w:p>
    <w:p w:rsidR="009A0950" w:rsidRPr="006C4D42" w:rsidRDefault="003541D1" w:rsidP="003541D1">
      <w:pPr>
        <w:rPr>
          <w:rFonts w:cstheme="minorHAnsi"/>
          <w:sz w:val="24"/>
          <w:szCs w:val="24"/>
        </w:rPr>
      </w:pPr>
      <w:r w:rsidRPr="006C4D42">
        <w:rPr>
          <w:rFonts w:cstheme="minorHAnsi"/>
          <w:sz w:val="24"/>
          <w:szCs w:val="24"/>
        </w:rPr>
        <w:t>Goal: Our information, services and programs are built with accessible and inclusive systems and processes in mind, to ensure everyone can engage with them, with commitment to review and update giving people with disability choice and control.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5048"/>
        <w:gridCol w:w="1006"/>
      </w:tblGrid>
      <w:tr w:rsidR="006C4D42" w:rsidRPr="006C4D42" w:rsidTr="005C64C5">
        <w:trPr>
          <w:trHeight w:val="256"/>
        </w:trPr>
        <w:tc>
          <w:tcPr>
            <w:tcW w:w="2972" w:type="dxa"/>
            <w:shd w:val="clear" w:color="auto" w:fill="auto"/>
          </w:tcPr>
          <w:p w:rsidR="006C4D42" w:rsidRPr="006C4D42" w:rsidRDefault="006C4D42" w:rsidP="005C64C5">
            <w:pPr>
              <w:rPr>
                <w:rFonts w:cstheme="minorHAnsi"/>
              </w:rPr>
            </w:pPr>
            <w:r w:rsidRPr="006C4D42">
              <w:rPr>
                <w:rFonts w:eastAsia="Times New Roman" w:cstheme="minorHAnsi"/>
                <w:b/>
                <w:bCs/>
                <w:color w:val="000000"/>
              </w:rPr>
              <w:t>Objective</w:t>
            </w:r>
          </w:p>
        </w:tc>
        <w:tc>
          <w:tcPr>
            <w:tcW w:w="5069" w:type="dxa"/>
          </w:tcPr>
          <w:p w:rsidR="006C4D42" w:rsidRPr="006C4D42" w:rsidRDefault="006C4D42" w:rsidP="005C64C5">
            <w:pPr>
              <w:rPr>
                <w:rFonts w:cstheme="minorHAnsi"/>
              </w:rPr>
            </w:pPr>
            <w:r w:rsidRPr="006C4D42">
              <w:rPr>
                <w:rFonts w:cstheme="minorHAnsi"/>
                <w:b/>
              </w:rPr>
              <w:t>Action</w:t>
            </w:r>
          </w:p>
        </w:tc>
        <w:tc>
          <w:tcPr>
            <w:tcW w:w="0" w:type="auto"/>
            <w:shd w:val="clear" w:color="auto" w:fill="auto"/>
          </w:tcPr>
          <w:p w:rsidR="006C4D42" w:rsidRPr="006C4D42" w:rsidRDefault="006C4D42" w:rsidP="005C64C5">
            <w:pPr>
              <w:spacing w:after="120"/>
              <w:rPr>
                <w:rFonts w:cstheme="minorHAnsi"/>
                <w:b/>
              </w:rPr>
            </w:pPr>
            <w:r w:rsidRPr="006C4D42">
              <w:rPr>
                <w:rFonts w:cstheme="minorHAnsi"/>
                <w:b/>
              </w:rPr>
              <w:t>Timeline</w:t>
            </w:r>
          </w:p>
        </w:tc>
      </w:tr>
      <w:tr w:rsidR="006C4D42" w:rsidRPr="006C4D42" w:rsidTr="005C64C5">
        <w:trPr>
          <w:trHeight w:val="653"/>
        </w:trPr>
        <w:tc>
          <w:tcPr>
            <w:tcW w:w="2972" w:type="dxa"/>
            <w:shd w:val="clear" w:color="auto" w:fill="auto"/>
          </w:tcPr>
          <w:p w:rsidR="006C4D42" w:rsidRPr="006C4D42" w:rsidRDefault="006C4D42" w:rsidP="005C64C5">
            <w:pPr>
              <w:rPr>
                <w:rFonts w:cstheme="minorHAnsi"/>
                <w:color w:val="000000"/>
              </w:rPr>
            </w:pPr>
            <w:r w:rsidRPr="006C4D42">
              <w:rPr>
                <w:rFonts w:cstheme="minorHAnsi"/>
                <w:b/>
                <w:bCs/>
                <w:color w:val="000000"/>
              </w:rPr>
              <w:t xml:space="preserve">4.1 Embedding access </w:t>
            </w:r>
            <w:r w:rsidRPr="006C4D42">
              <w:rPr>
                <w:rFonts w:cstheme="minorHAnsi"/>
                <w:color w:val="000000"/>
              </w:rPr>
              <w:br/>
              <w:t>Ensure access and inclusion principles and values are embedded across the organisation</w:t>
            </w:r>
          </w:p>
          <w:p w:rsidR="006C4D42" w:rsidRPr="006C4D42" w:rsidRDefault="006C4D42" w:rsidP="005C64C5">
            <w:pPr>
              <w:rPr>
                <w:rFonts w:eastAsia="Times New Roman" w:cstheme="minorHAnsi"/>
                <w:b/>
                <w:bCs/>
                <w:color w:val="000000"/>
              </w:rPr>
            </w:pPr>
          </w:p>
        </w:tc>
        <w:tc>
          <w:tcPr>
            <w:tcW w:w="5069" w:type="dxa"/>
          </w:tcPr>
          <w:p w:rsidR="006C4D42" w:rsidRPr="006C4D42" w:rsidRDefault="006C4D42" w:rsidP="005C64C5">
            <w:pPr>
              <w:spacing w:after="240"/>
              <w:rPr>
                <w:rFonts w:cstheme="minorHAnsi"/>
                <w:color w:val="000000"/>
              </w:rPr>
            </w:pPr>
            <w:r w:rsidRPr="006C4D42">
              <w:rPr>
                <w:rFonts w:cstheme="minorHAnsi"/>
                <w:color w:val="000000" w:themeColor="text1"/>
              </w:rPr>
              <w:t xml:space="preserve">4.1.1 Build access and inclusion into key planning processes, </w:t>
            </w:r>
            <w:bookmarkStart w:id="6" w:name="_Int_RNwVQB88"/>
            <w:r w:rsidRPr="006C4D42">
              <w:rPr>
                <w:rFonts w:cstheme="minorHAnsi"/>
                <w:color w:val="000000" w:themeColor="text1"/>
              </w:rPr>
              <w:t>templates</w:t>
            </w:r>
            <w:bookmarkEnd w:id="6"/>
            <w:r w:rsidRPr="006C4D42">
              <w:rPr>
                <w:rFonts w:cstheme="minorHAnsi"/>
                <w:color w:val="000000" w:themeColor="text1"/>
              </w:rPr>
              <w:t xml:space="preserve"> and meetings across the organisation to ensure access is planned for from the outset. </w:t>
            </w:r>
            <w:r w:rsidRPr="006C4D42">
              <w:rPr>
                <w:rFonts w:cstheme="minorHAnsi"/>
              </w:rPr>
              <w:br/>
            </w:r>
          </w:p>
        </w:tc>
        <w:tc>
          <w:tcPr>
            <w:tcW w:w="0" w:type="auto"/>
            <w:shd w:val="clear" w:color="auto" w:fill="auto"/>
          </w:tcPr>
          <w:p w:rsidR="006C4D42" w:rsidRPr="006C4D42" w:rsidRDefault="006C4D42" w:rsidP="005C64C5">
            <w:pPr>
              <w:rPr>
                <w:rFonts w:cstheme="minorHAnsi"/>
              </w:rPr>
            </w:pPr>
            <w:r w:rsidRPr="006C4D42">
              <w:rPr>
                <w:rFonts w:cstheme="minorHAnsi"/>
              </w:rPr>
              <w:t>2023</w:t>
            </w:r>
          </w:p>
          <w:p w:rsidR="006C4D42" w:rsidRPr="006C4D42" w:rsidRDefault="006C4D42" w:rsidP="005C64C5">
            <w:pPr>
              <w:rPr>
                <w:rFonts w:cstheme="minorHAnsi"/>
              </w:rPr>
            </w:pPr>
          </w:p>
          <w:p w:rsidR="006C4D42" w:rsidRPr="006C4D42" w:rsidRDefault="006C4D42" w:rsidP="005C64C5">
            <w:pPr>
              <w:rPr>
                <w:rFonts w:cstheme="minorHAnsi"/>
              </w:rPr>
            </w:pPr>
          </w:p>
          <w:p w:rsidR="006C4D42" w:rsidRPr="006C4D42" w:rsidRDefault="006C4D42" w:rsidP="005C64C5">
            <w:pPr>
              <w:rPr>
                <w:rFonts w:cstheme="minorHAnsi"/>
              </w:rPr>
            </w:pPr>
          </w:p>
          <w:p w:rsidR="006C4D42" w:rsidRPr="006C4D42" w:rsidRDefault="006C4D42" w:rsidP="005C64C5">
            <w:pPr>
              <w:rPr>
                <w:rFonts w:cstheme="minorHAnsi"/>
              </w:rPr>
            </w:pPr>
          </w:p>
          <w:p w:rsidR="006C4D42" w:rsidRPr="006C4D42" w:rsidRDefault="006C4D42" w:rsidP="005C64C5">
            <w:pPr>
              <w:rPr>
                <w:rFonts w:cstheme="minorHAnsi"/>
              </w:rPr>
            </w:pPr>
          </w:p>
        </w:tc>
      </w:tr>
      <w:tr w:rsidR="006C4D42" w:rsidRPr="006C4D42" w:rsidTr="005C64C5">
        <w:trPr>
          <w:trHeight w:val="720"/>
        </w:trPr>
        <w:tc>
          <w:tcPr>
            <w:tcW w:w="2972" w:type="dxa"/>
            <w:shd w:val="clear" w:color="auto" w:fill="auto"/>
          </w:tcPr>
          <w:p w:rsidR="006C4D42" w:rsidRPr="006C4D42" w:rsidRDefault="006C4D42" w:rsidP="005C64C5">
            <w:pPr>
              <w:rPr>
                <w:rFonts w:cstheme="minorHAnsi"/>
                <w:color w:val="000000"/>
              </w:rPr>
            </w:pPr>
            <w:r w:rsidRPr="006C4D42">
              <w:rPr>
                <w:rFonts w:cstheme="minorHAnsi"/>
                <w:b/>
                <w:bCs/>
                <w:color w:val="000000" w:themeColor="text1"/>
              </w:rPr>
              <w:lastRenderedPageBreak/>
              <w:t xml:space="preserve">4.2 Document accessibility </w:t>
            </w:r>
            <w:r w:rsidRPr="006C4D42">
              <w:rPr>
                <w:rFonts w:cstheme="minorHAnsi"/>
              </w:rPr>
              <w:br/>
            </w:r>
            <w:r w:rsidRPr="006C4D42">
              <w:rPr>
                <w:rFonts w:cstheme="minorHAnsi"/>
                <w:color w:val="000000" w:themeColor="text1"/>
              </w:rPr>
              <w:t>Continue to improve the accessibility of documents produced by the Gallery</w:t>
            </w:r>
          </w:p>
          <w:p w:rsidR="006C4D42" w:rsidRPr="006C4D42" w:rsidRDefault="006C4D42" w:rsidP="005C64C5">
            <w:pPr>
              <w:rPr>
                <w:rFonts w:cstheme="minorHAnsi"/>
                <w:color w:val="000000"/>
              </w:rPr>
            </w:pPr>
          </w:p>
        </w:tc>
        <w:tc>
          <w:tcPr>
            <w:tcW w:w="5069" w:type="dxa"/>
          </w:tcPr>
          <w:p w:rsidR="006C4D42" w:rsidRPr="006C4D42" w:rsidRDefault="006C4D42" w:rsidP="005C64C5">
            <w:pPr>
              <w:spacing w:after="240"/>
              <w:rPr>
                <w:rFonts w:cstheme="minorHAnsi"/>
                <w:color w:val="000000"/>
              </w:rPr>
            </w:pPr>
            <w:r w:rsidRPr="006C4D42">
              <w:rPr>
                <w:rFonts w:cstheme="minorHAnsi"/>
                <w:color w:val="000000"/>
              </w:rPr>
              <w:t xml:space="preserve">4.2.1 Review recommendations of Document Review report (produced by Accessible Arts) to inform the development of an </w:t>
            </w:r>
            <w:r w:rsidRPr="006C4D42">
              <w:rPr>
                <w:rFonts w:cstheme="minorHAnsi"/>
                <w:color w:val="000000" w:themeColor="text1"/>
              </w:rPr>
              <w:t>accessible documents policy.</w:t>
            </w:r>
          </w:p>
        </w:tc>
        <w:tc>
          <w:tcPr>
            <w:tcW w:w="0" w:type="auto"/>
            <w:shd w:val="clear" w:color="auto" w:fill="auto"/>
          </w:tcPr>
          <w:p w:rsidR="006C4D42" w:rsidRPr="006C4D42" w:rsidRDefault="006C4D42" w:rsidP="005C64C5">
            <w:pPr>
              <w:spacing w:after="120"/>
              <w:rPr>
                <w:rFonts w:cstheme="minorHAnsi"/>
              </w:rPr>
            </w:pPr>
            <w:r w:rsidRPr="006C4D42">
              <w:rPr>
                <w:rFonts w:cstheme="minorHAnsi"/>
              </w:rPr>
              <w:t>2025</w:t>
            </w:r>
          </w:p>
          <w:p w:rsidR="006C4D42" w:rsidRPr="006C4D42" w:rsidRDefault="006C4D42" w:rsidP="005C64C5">
            <w:pPr>
              <w:spacing w:after="120"/>
              <w:rPr>
                <w:rFonts w:cstheme="minorHAnsi"/>
              </w:rPr>
            </w:pPr>
          </w:p>
          <w:p w:rsidR="006C4D42" w:rsidRPr="006C4D42" w:rsidRDefault="006C4D42" w:rsidP="005C64C5">
            <w:pPr>
              <w:spacing w:after="120"/>
              <w:rPr>
                <w:rFonts w:cstheme="minorHAnsi"/>
              </w:rPr>
            </w:pPr>
          </w:p>
        </w:tc>
      </w:tr>
      <w:tr w:rsidR="006C4D42" w:rsidRPr="006C4D42" w:rsidTr="005C64C5">
        <w:trPr>
          <w:trHeight w:val="411"/>
        </w:trPr>
        <w:tc>
          <w:tcPr>
            <w:tcW w:w="2972" w:type="dxa"/>
            <w:shd w:val="clear" w:color="auto" w:fill="auto"/>
          </w:tcPr>
          <w:p w:rsidR="006C4D42" w:rsidRPr="006C4D42" w:rsidRDefault="006C4D42" w:rsidP="005C64C5">
            <w:pPr>
              <w:rPr>
                <w:rFonts w:cstheme="minorHAnsi"/>
                <w:color w:val="000000"/>
              </w:rPr>
            </w:pPr>
            <w:r w:rsidRPr="006C4D42">
              <w:rPr>
                <w:rFonts w:cstheme="minorHAnsi"/>
                <w:b/>
                <w:bCs/>
                <w:color w:val="000000"/>
              </w:rPr>
              <w:t>4.3 Captioning</w:t>
            </w:r>
            <w:r w:rsidRPr="006C4D42">
              <w:rPr>
                <w:rFonts w:cstheme="minorHAnsi"/>
                <w:b/>
                <w:bCs/>
                <w:color w:val="000000"/>
              </w:rPr>
              <w:br/>
            </w:r>
            <w:r w:rsidRPr="006C4D42">
              <w:rPr>
                <w:rFonts w:cstheme="minorHAnsi"/>
                <w:color w:val="000000"/>
              </w:rPr>
              <w:t xml:space="preserve">Ensure captioning is provided consistently and to a high quality </w:t>
            </w:r>
          </w:p>
        </w:tc>
        <w:tc>
          <w:tcPr>
            <w:tcW w:w="5069" w:type="dxa"/>
          </w:tcPr>
          <w:p w:rsidR="006C4D42" w:rsidRPr="006C4D42" w:rsidRDefault="006C4D42" w:rsidP="005C64C5">
            <w:pPr>
              <w:rPr>
                <w:rFonts w:cstheme="minorHAnsi"/>
                <w:color w:val="000000"/>
              </w:rPr>
            </w:pPr>
            <w:r w:rsidRPr="006C4D42">
              <w:rPr>
                <w:rFonts w:cstheme="minorHAnsi"/>
                <w:color w:val="000000" w:themeColor="text1"/>
              </w:rPr>
              <w:t xml:space="preserve">4.3.1 Ensure captioning is provided for online video experiences and in-person when identified. </w:t>
            </w:r>
          </w:p>
        </w:tc>
        <w:tc>
          <w:tcPr>
            <w:tcW w:w="0" w:type="auto"/>
            <w:shd w:val="clear" w:color="auto" w:fill="auto"/>
          </w:tcPr>
          <w:p w:rsidR="006C4D42" w:rsidRPr="006C4D42" w:rsidRDefault="006C4D42" w:rsidP="005C64C5">
            <w:pPr>
              <w:pStyle w:val="ColorfulShading-Accent31"/>
              <w:spacing w:after="120" w:line="240" w:lineRule="auto"/>
              <w:ind w:left="0"/>
              <w:contextualSpacing w:val="0"/>
              <w:rPr>
                <w:rFonts w:asciiTheme="minorHAnsi" w:hAnsiTheme="minorHAnsi" w:cstheme="minorHAnsi"/>
              </w:rPr>
            </w:pPr>
            <w:r w:rsidRPr="006C4D42">
              <w:rPr>
                <w:rFonts w:asciiTheme="minorHAnsi" w:hAnsiTheme="minorHAnsi" w:cstheme="minorHAnsi"/>
              </w:rPr>
              <w:t>Ongoing</w:t>
            </w:r>
          </w:p>
        </w:tc>
      </w:tr>
      <w:tr w:rsidR="006C4D42" w:rsidRPr="006C4D42" w:rsidTr="005C64C5">
        <w:trPr>
          <w:trHeight w:val="411"/>
        </w:trPr>
        <w:tc>
          <w:tcPr>
            <w:tcW w:w="2972" w:type="dxa"/>
            <w:shd w:val="clear" w:color="auto" w:fill="auto"/>
          </w:tcPr>
          <w:p w:rsidR="006C4D42" w:rsidRPr="006C4D42" w:rsidRDefault="006C4D42" w:rsidP="005C64C5">
            <w:pPr>
              <w:rPr>
                <w:rFonts w:cstheme="minorHAnsi"/>
                <w:color w:val="000000"/>
              </w:rPr>
            </w:pPr>
            <w:r w:rsidRPr="006C4D42">
              <w:rPr>
                <w:rFonts w:cstheme="minorHAnsi"/>
                <w:b/>
                <w:bCs/>
                <w:color w:val="000000" w:themeColor="text1"/>
              </w:rPr>
              <w:t>4.4 Booking and ticketing</w:t>
            </w:r>
            <w:r w:rsidRPr="006C4D42">
              <w:rPr>
                <w:rFonts w:cstheme="minorHAnsi"/>
              </w:rPr>
              <w:br/>
            </w:r>
            <w:r w:rsidRPr="006C4D42">
              <w:rPr>
                <w:rFonts w:cstheme="minorHAnsi"/>
                <w:color w:val="000000" w:themeColor="text1"/>
              </w:rPr>
              <w:t xml:space="preserve">Continue to ensure that ticketing processes are accessible </w:t>
            </w:r>
          </w:p>
          <w:p w:rsidR="006C4D42" w:rsidRPr="006C4D42" w:rsidRDefault="006C4D42" w:rsidP="005C64C5">
            <w:pPr>
              <w:rPr>
                <w:rFonts w:cstheme="minorHAnsi"/>
                <w:color w:val="000000"/>
              </w:rPr>
            </w:pPr>
          </w:p>
        </w:tc>
        <w:tc>
          <w:tcPr>
            <w:tcW w:w="5069" w:type="dxa"/>
          </w:tcPr>
          <w:p w:rsidR="006C4D42" w:rsidRPr="006C4D42" w:rsidRDefault="006C4D42" w:rsidP="005C64C5">
            <w:pPr>
              <w:rPr>
                <w:rFonts w:cstheme="minorHAnsi"/>
                <w:color w:val="000000"/>
              </w:rPr>
            </w:pPr>
            <w:r w:rsidRPr="006C4D42">
              <w:rPr>
                <w:rFonts w:cstheme="minorHAnsi"/>
                <w:color w:val="000000" w:themeColor="text1"/>
              </w:rPr>
              <w:t xml:space="preserve">4.4.1 Review online booking system to collect information on additional access requirements at point of sale. </w:t>
            </w:r>
          </w:p>
          <w:p w:rsidR="006C4D42" w:rsidRPr="006C4D42" w:rsidRDefault="006C4D42" w:rsidP="005C64C5">
            <w:pPr>
              <w:rPr>
                <w:rFonts w:cstheme="minorHAnsi"/>
                <w:color w:val="000000" w:themeColor="text1"/>
              </w:rPr>
            </w:pPr>
          </w:p>
          <w:p w:rsidR="006C4D42" w:rsidRPr="006C4D42" w:rsidRDefault="006C4D42" w:rsidP="005C64C5">
            <w:pPr>
              <w:rPr>
                <w:rFonts w:cstheme="minorHAnsi"/>
                <w:color w:val="000000"/>
              </w:rPr>
            </w:pPr>
            <w:r w:rsidRPr="006C4D42">
              <w:rPr>
                <w:rFonts w:cstheme="minorHAnsi"/>
                <w:color w:val="000000" w:themeColor="text1"/>
              </w:rPr>
              <w:t xml:space="preserve">4.4.2 Revise ticketing information with program venue information, so that this is clear for all patrons to locate. </w:t>
            </w:r>
          </w:p>
        </w:tc>
        <w:tc>
          <w:tcPr>
            <w:tcW w:w="0" w:type="auto"/>
            <w:shd w:val="clear" w:color="auto" w:fill="auto"/>
          </w:tcPr>
          <w:p w:rsidR="006C4D42" w:rsidRPr="006C4D42" w:rsidRDefault="006C4D42" w:rsidP="005C64C5">
            <w:pPr>
              <w:pStyle w:val="ColorfulShading-Accent31"/>
              <w:spacing w:after="120" w:line="240" w:lineRule="auto"/>
              <w:ind w:left="0"/>
              <w:contextualSpacing w:val="0"/>
              <w:rPr>
                <w:rFonts w:asciiTheme="minorHAnsi" w:hAnsiTheme="minorHAnsi" w:cstheme="minorHAnsi"/>
              </w:rPr>
            </w:pPr>
            <w:r w:rsidRPr="006C4D42">
              <w:rPr>
                <w:rFonts w:asciiTheme="minorHAnsi" w:hAnsiTheme="minorHAnsi" w:cstheme="minorHAnsi"/>
              </w:rPr>
              <w:t>Ongoing</w:t>
            </w:r>
          </w:p>
          <w:p w:rsidR="006C4D42" w:rsidRPr="006C4D42" w:rsidRDefault="006C4D42" w:rsidP="005C64C5">
            <w:pPr>
              <w:pStyle w:val="ColorfulShading-Accent31"/>
              <w:spacing w:after="120" w:line="240" w:lineRule="auto"/>
              <w:ind w:left="0"/>
              <w:contextualSpacing w:val="0"/>
              <w:rPr>
                <w:rFonts w:asciiTheme="minorHAnsi" w:hAnsiTheme="minorHAnsi" w:cstheme="minorHAnsi"/>
              </w:rPr>
            </w:pPr>
          </w:p>
          <w:p w:rsidR="006C4D42" w:rsidRPr="006C4D42" w:rsidRDefault="006C4D42" w:rsidP="005C64C5">
            <w:pPr>
              <w:pStyle w:val="ColorfulShading-Accent31"/>
              <w:spacing w:after="120" w:line="240" w:lineRule="auto"/>
              <w:ind w:left="0"/>
              <w:contextualSpacing w:val="0"/>
              <w:rPr>
                <w:rFonts w:asciiTheme="minorHAnsi" w:hAnsiTheme="minorHAnsi" w:cstheme="minorHAnsi"/>
              </w:rPr>
            </w:pPr>
          </w:p>
          <w:p w:rsidR="006C4D42" w:rsidRPr="006C4D42" w:rsidRDefault="006C4D42" w:rsidP="005C64C5">
            <w:pPr>
              <w:pStyle w:val="ColorfulShading-Accent31"/>
              <w:spacing w:after="120" w:line="240" w:lineRule="auto"/>
              <w:ind w:left="0"/>
              <w:contextualSpacing w:val="0"/>
              <w:rPr>
                <w:rFonts w:asciiTheme="minorHAnsi" w:hAnsiTheme="minorHAnsi" w:cstheme="minorHAnsi"/>
              </w:rPr>
            </w:pPr>
            <w:r w:rsidRPr="006C4D42">
              <w:rPr>
                <w:rFonts w:asciiTheme="minorHAnsi" w:hAnsiTheme="minorHAnsi" w:cstheme="minorHAnsi"/>
              </w:rPr>
              <w:t xml:space="preserve">2023 </w:t>
            </w:r>
          </w:p>
          <w:p w:rsidR="006C4D42" w:rsidRPr="006C4D42" w:rsidRDefault="006C4D42" w:rsidP="005C64C5">
            <w:pPr>
              <w:pStyle w:val="ColorfulShading-Accent31"/>
              <w:spacing w:after="120" w:line="240" w:lineRule="auto"/>
              <w:ind w:left="0"/>
              <w:rPr>
                <w:rFonts w:asciiTheme="minorHAnsi" w:hAnsiTheme="minorHAnsi" w:cstheme="minorHAnsi"/>
              </w:rPr>
            </w:pPr>
          </w:p>
        </w:tc>
      </w:tr>
      <w:tr w:rsidR="006C4D42" w:rsidRPr="006C4D42" w:rsidTr="005C64C5">
        <w:trPr>
          <w:trHeight w:val="411"/>
        </w:trPr>
        <w:tc>
          <w:tcPr>
            <w:tcW w:w="2972" w:type="dxa"/>
            <w:shd w:val="clear" w:color="auto" w:fill="auto"/>
          </w:tcPr>
          <w:p w:rsidR="006C4D42" w:rsidRPr="006C4D42" w:rsidRDefault="006C4D42" w:rsidP="005C64C5">
            <w:pPr>
              <w:rPr>
                <w:rFonts w:cstheme="minorHAnsi"/>
                <w:color w:val="000000"/>
              </w:rPr>
            </w:pPr>
            <w:r w:rsidRPr="006C4D42">
              <w:rPr>
                <w:rFonts w:cstheme="minorHAnsi"/>
                <w:b/>
                <w:bCs/>
                <w:color w:val="000000"/>
              </w:rPr>
              <w:t xml:space="preserve">4.5 Website </w:t>
            </w:r>
            <w:r w:rsidRPr="006C4D42">
              <w:rPr>
                <w:rFonts w:cstheme="minorHAnsi"/>
                <w:b/>
                <w:bCs/>
                <w:color w:val="000000"/>
              </w:rPr>
              <w:br/>
            </w:r>
            <w:r w:rsidRPr="006C4D42">
              <w:rPr>
                <w:rFonts w:cstheme="minorHAnsi"/>
                <w:color w:val="000000"/>
              </w:rPr>
              <w:t xml:space="preserve">Ensure website is accessible for people with a range of access requirements </w:t>
            </w:r>
          </w:p>
          <w:p w:rsidR="006C4D42" w:rsidRPr="006C4D42" w:rsidRDefault="006C4D42" w:rsidP="005C64C5">
            <w:pPr>
              <w:rPr>
                <w:rFonts w:cstheme="minorHAnsi"/>
                <w:color w:val="000000"/>
              </w:rPr>
            </w:pPr>
          </w:p>
        </w:tc>
        <w:tc>
          <w:tcPr>
            <w:tcW w:w="5069" w:type="dxa"/>
          </w:tcPr>
          <w:p w:rsidR="006C4D42" w:rsidRPr="006C4D42" w:rsidRDefault="006C4D42" w:rsidP="005C64C5">
            <w:pPr>
              <w:rPr>
                <w:rFonts w:cstheme="minorHAnsi"/>
                <w:color w:val="000000"/>
              </w:rPr>
            </w:pPr>
            <w:r w:rsidRPr="006C4D42">
              <w:rPr>
                <w:rFonts w:cstheme="minorHAnsi"/>
                <w:color w:val="000000" w:themeColor="text1"/>
              </w:rPr>
              <w:t xml:space="preserve">4.5.1 Undertake a website audit to ascertain current WCAG2.0 level of accessibility and identify areas for improvement. </w:t>
            </w:r>
          </w:p>
          <w:p w:rsidR="006C4D42" w:rsidRPr="006C4D42" w:rsidRDefault="006C4D42" w:rsidP="005C64C5">
            <w:pPr>
              <w:spacing w:after="240"/>
              <w:rPr>
                <w:rFonts w:cstheme="minorHAnsi"/>
                <w:color w:val="000000"/>
              </w:rPr>
            </w:pPr>
          </w:p>
        </w:tc>
        <w:tc>
          <w:tcPr>
            <w:tcW w:w="0" w:type="auto"/>
            <w:shd w:val="clear" w:color="auto" w:fill="auto"/>
          </w:tcPr>
          <w:p w:rsidR="006C4D42" w:rsidRPr="006C4D42" w:rsidRDefault="006C4D42" w:rsidP="005C64C5">
            <w:pPr>
              <w:pStyle w:val="ColorfulShading-Accent31"/>
              <w:spacing w:after="120" w:line="240" w:lineRule="auto"/>
              <w:ind w:left="0"/>
              <w:contextualSpacing w:val="0"/>
              <w:rPr>
                <w:rFonts w:asciiTheme="minorHAnsi" w:hAnsiTheme="minorHAnsi" w:cstheme="minorHAnsi"/>
              </w:rPr>
            </w:pPr>
            <w:r w:rsidRPr="006C4D42">
              <w:rPr>
                <w:rFonts w:asciiTheme="minorHAnsi" w:hAnsiTheme="minorHAnsi" w:cstheme="minorHAnsi"/>
              </w:rPr>
              <w:t>2024</w:t>
            </w:r>
          </w:p>
          <w:p w:rsidR="006C4D42" w:rsidRPr="006C4D42" w:rsidRDefault="006C4D42" w:rsidP="005C64C5">
            <w:pPr>
              <w:pStyle w:val="ColorfulShading-Accent31"/>
              <w:spacing w:after="120" w:line="240" w:lineRule="auto"/>
              <w:ind w:left="0"/>
              <w:contextualSpacing w:val="0"/>
              <w:rPr>
                <w:rFonts w:asciiTheme="minorHAnsi" w:hAnsiTheme="minorHAnsi" w:cstheme="minorHAnsi"/>
              </w:rPr>
            </w:pPr>
          </w:p>
          <w:p w:rsidR="006C4D42" w:rsidRPr="006C4D42" w:rsidRDefault="006C4D42" w:rsidP="005C64C5">
            <w:pPr>
              <w:pStyle w:val="ColorfulShading-Accent31"/>
              <w:spacing w:after="120" w:line="240" w:lineRule="auto"/>
              <w:ind w:left="0"/>
              <w:rPr>
                <w:rFonts w:asciiTheme="minorHAnsi" w:hAnsiTheme="minorHAnsi" w:cstheme="minorHAnsi"/>
              </w:rPr>
            </w:pPr>
          </w:p>
        </w:tc>
      </w:tr>
      <w:tr w:rsidR="006C4D42" w:rsidRPr="006C4D42" w:rsidTr="005C64C5">
        <w:trPr>
          <w:trHeight w:val="411"/>
        </w:trPr>
        <w:tc>
          <w:tcPr>
            <w:tcW w:w="2972" w:type="dxa"/>
            <w:shd w:val="clear" w:color="auto" w:fill="auto"/>
          </w:tcPr>
          <w:p w:rsidR="006C4D42" w:rsidRPr="006C4D42" w:rsidRDefault="006C4D42" w:rsidP="005C64C5">
            <w:pPr>
              <w:rPr>
                <w:rFonts w:cstheme="minorHAnsi"/>
                <w:color w:val="000000"/>
              </w:rPr>
            </w:pPr>
            <w:r w:rsidRPr="006C4D42">
              <w:rPr>
                <w:rFonts w:cstheme="minorHAnsi"/>
                <w:b/>
                <w:bCs/>
                <w:color w:val="000000"/>
              </w:rPr>
              <w:t>4.6 Social media</w:t>
            </w:r>
            <w:r w:rsidRPr="006C4D42">
              <w:rPr>
                <w:rFonts w:cstheme="minorHAnsi"/>
                <w:color w:val="000000"/>
              </w:rPr>
              <w:br/>
              <w:t xml:space="preserve">Ensure social media is accessible for people with a range of access requirements </w:t>
            </w:r>
          </w:p>
        </w:tc>
        <w:tc>
          <w:tcPr>
            <w:tcW w:w="5069" w:type="dxa"/>
          </w:tcPr>
          <w:p w:rsidR="006C4D42" w:rsidRPr="006C4D42" w:rsidRDefault="006C4D42" w:rsidP="005C64C5">
            <w:pPr>
              <w:rPr>
                <w:rFonts w:cstheme="minorHAnsi"/>
                <w:color w:val="000000"/>
              </w:rPr>
            </w:pPr>
            <w:r w:rsidRPr="006C4D42">
              <w:rPr>
                <w:rFonts w:cstheme="minorHAnsi"/>
                <w:color w:val="000000" w:themeColor="text1"/>
              </w:rPr>
              <w:t xml:space="preserve">4.6.1 Develop a Social Media Policy to guide accessible social media posts.  </w:t>
            </w:r>
          </w:p>
          <w:p w:rsidR="006C4D42" w:rsidRPr="006C4D42" w:rsidRDefault="006C4D42" w:rsidP="005C64C5">
            <w:pPr>
              <w:rPr>
                <w:rFonts w:cstheme="minorHAnsi"/>
                <w:color w:val="000000"/>
              </w:rPr>
            </w:pPr>
          </w:p>
        </w:tc>
        <w:tc>
          <w:tcPr>
            <w:tcW w:w="0" w:type="auto"/>
            <w:shd w:val="clear" w:color="auto" w:fill="auto"/>
          </w:tcPr>
          <w:p w:rsidR="006C4D42" w:rsidRPr="006C4D42" w:rsidRDefault="006C4D42" w:rsidP="005C64C5">
            <w:pPr>
              <w:pStyle w:val="ColorfulShading-Accent31"/>
              <w:spacing w:after="120" w:line="240" w:lineRule="auto"/>
              <w:ind w:left="0"/>
              <w:contextualSpacing w:val="0"/>
              <w:rPr>
                <w:rFonts w:asciiTheme="minorHAnsi" w:hAnsiTheme="minorHAnsi" w:cstheme="minorHAnsi"/>
              </w:rPr>
            </w:pPr>
            <w:r w:rsidRPr="006C4D42">
              <w:rPr>
                <w:rFonts w:asciiTheme="minorHAnsi" w:hAnsiTheme="minorHAnsi" w:cstheme="minorHAnsi"/>
              </w:rPr>
              <w:t>2024</w:t>
            </w:r>
          </w:p>
        </w:tc>
      </w:tr>
      <w:tr w:rsidR="006C4D42" w:rsidRPr="006C4D42" w:rsidTr="005C64C5">
        <w:trPr>
          <w:trHeight w:val="411"/>
        </w:trPr>
        <w:tc>
          <w:tcPr>
            <w:tcW w:w="2972" w:type="dxa"/>
            <w:shd w:val="clear" w:color="auto" w:fill="auto"/>
          </w:tcPr>
          <w:p w:rsidR="006C4D42" w:rsidRPr="006C4D42" w:rsidRDefault="006C4D42" w:rsidP="005C64C5">
            <w:pPr>
              <w:rPr>
                <w:rFonts w:cstheme="minorHAnsi"/>
                <w:color w:val="000000"/>
              </w:rPr>
            </w:pPr>
            <w:r w:rsidRPr="006C4D42">
              <w:rPr>
                <w:rFonts w:cstheme="minorHAnsi"/>
                <w:b/>
                <w:bCs/>
                <w:color w:val="000000"/>
              </w:rPr>
              <w:t>4.7 Technology</w:t>
            </w:r>
            <w:r w:rsidRPr="006C4D42">
              <w:rPr>
                <w:rFonts w:cstheme="minorHAnsi"/>
                <w:b/>
                <w:bCs/>
                <w:color w:val="000000"/>
              </w:rPr>
              <w:br/>
            </w:r>
            <w:r w:rsidRPr="006C4D42">
              <w:rPr>
                <w:rFonts w:cstheme="minorHAnsi"/>
                <w:color w:val="000000"/>
              </w:rPr>
              <w:t xml:space="preserve">Ensure appropriate technology is utilised that can enhance accessible experiences </w:t>
            </w:r>
          </w:p>
        </w:tc>
        <w:tc>
          <w:tcPr>
            <w:tcW w:w="5069" w:type="dxa"/>
          </w:tcPr>
          <w:p w:rsidR="006C4D42" w:rsidRPr="006C4D42" w:rsidRDefault="006C4D42" w:rsidP="005C64C5">
            <w:pPr>
              <w:rPr>
                <w:rFonts w:cstheme="minorHAnsi"/>
                <w:color w:val="000000" w:themeColor="text1"/>
              </w:rPr>
            </w:pPr>
            <w:r w:rsidRPr="006C4D42">
              <w:rPr>
                <w:rFonts w:cstheme="minorHAnsi"/>
                <w:color w:val="000000" w:themeColor="text1"/>
              </w:rPr>
              <w:t xml:space="preserve">4.7.1 Scope technological possibilities to improve accessible experiences at the Gallery. </w:t>
            </w:r>
          </w:p>
          <w:p w:rsidR="006C4D42" w:rsidRPr="006C4D42" w:rsidRDefault="006C4D42" w:rsidP="005C64C5">
            <w:pPr>
              <w:rPr>
                <w:rFonts w:cstheme="minorHAnsi"/>
                <w:color w:val="000000"/>
              </w:rPr>
            </w:pPr>
          </w:p>
        </w:tc>
        <w:tc>
          <w:tcPr>
            <w:tcW w:w="0" w:type="auto"/>
            <w:shd w:val="clear" w:color="auto" w:fill="auto"/>
          </w:tcPr>
          <w:p w:rsidR="006C4D42" w:rsidRPr="006C4D42" w:rsidRDefault="006C4D42" w:rsidP="005C64C5">
            <w:pPr>
              <w:pStyle w:val="ColorfulShading-Accent31"/>
              <w:spacing w:after="120" w:line="240" w:lineRule="auto"/>
              <w:ind w:left="0"/>
              <w:rPr>
                <w:rFonts w:asciiTheme="minorHAnsi" w:hAnsiTheme="minorHAnsi" w:cstheme="minorHAnsi"/>
              </w:rPr>
            </w:pPr>
            <w:r w:rsidRPr="006C4D42">
              <w:rPr>
                <w:rFonts w:asciiTheme="minorHAnsi" w:hAnsiTheme="minorHAnsi" w:cstheme="minorHAnsi"/>
              </w:rPr>
              <w:t>Ongoing</w:t>
            </w:r>
          </w:p>
          <w:p w:rsidR="006C4D42" w:rsidRPr="006C4D42" w:rsidRDefault="006C4D42" w:rsidP="005C64C5">
            <w:pPr>
              <w:pStyle w:val="ColorfulShading-Accent31"/>
              <w:spacing w:after="120" w:line="240" w:lineRule="auto"/>
              <w:ind w:left="0"/>
              <w:rPr>
                <w:rFonts w:asciiTheme="minorHAnsi" w:hAnsiTheme="minorHAnsi" w:cstheme="minorHAnsi"/>
              </w:rPr>
            </w:pPr>
          </w:p>
          <w:p w:rsidR="006C4D42" w:rsidRPr="006C4D42" w:rsidRDefault="006C4D42" w:rsidP="005C64C5">
            <w:pPr>
              <w:pStyle w:val="ColorfulShading-Accent31"/>
              <w:spacing w:after="120" w:line="240" w:lineRule="auto"/>
              <w:ind w:left="0"/>
              <w:rPr>
                <w:rFonts w:asciiTheme="minorHAnsi" w:hAnsiTheme="minorHAnsi" w:cstheme="minorHAnsi"/>
              </w:rPr>
            </w:pPr>
          </w:p>
          <w:p w:rsidR="006C4D42" w:rsidRPr="006C4D42" w:rsidRDefault="006C4D42" w:rsidP="005C64C5">
            <w:pPr>
              <w:pStyle w:val="ColorfulShading-Accent31"/>
              <w:spacing w:after="120" w:line="240" w:lineRule="auto"/>
              <w:ind w:left="0"/>
              <w:rPr>
                <w:rFonts w:asciiTheme="minorHAnsi" w:hAnsiTheme="minorHAnsi" w:cstheme="minorHAnsi"/>
              </w:rPr>
            </w:pPr>
          </w:p>
        </w:tc>
      </w:tr>
      <w:tr w:rsidR="006C4D42" w:rsidRPr="006C4D42" w:rsidTr="005C64C5">
        <w:trPr>
          <w:trHeight w:val="411"/>
        </w:trPr>
        <w:tc>
          <w:tcPr>
            <w:tcW w:w="2972" w:type="dxa"/>
            <w:shd w:val="clear" w:color="auto" w:fill="auto"/>
          </w:tcPr>
          <w:p w:rsidR="006C4D42" w:rsidRPr="006C4D42" w:rsidRDefault="006C4D42" w:rsidP="005C64C5">
            <w:pPr>
              <w:rPr>
                <w:rFonts w:cstheme="minorHAnsi"/>
                <w:color w:val="000000"/>
              </w:rPr>
            </w:pPr>
            <w:r w:rsidRPr="006C4D42">
              <w:rPr>
                <w:rFonts w:cstheme="minorHAnsi"/>
                <w:b/>
                <w:bCs/>
                <w:color w:val="000000" w:themeColor="text1"/>
              </w:rPr>
              <w:t>4.8 Emergency evacuation</w:t>
            </w:r>
            <w:r w:rsidRPr="006C4D42">
              <w:rPr>
                <w:rFonts w:cstheme="minorHAnsi"/>
              </w:rPr>
              <w:br/>
            </w:r>
            <w:r w:rsidRPr="006C4D42">
              <w:rPr>
                <w:rFonts w:cstheme="minorHAnsi"/>
                <w:color w:val="000000" w:themeColor="text1"/>
              </w:rPr>
              <w:t>Ensure processes around emergency evacuation are accessible to everyone</w:t>
            </w:r>
          </w:p>
        </w:tc>
        <w:tc>
          <w:tcPr>
            <w:tcW w:w="5069" w:type="dxa"/>
          </w:tcPr>
          <w:p w:rsidR="006C4D42" w:rsidRPr="006C4D42" w:rsidRDefault="006C4D42" w:rsidP="005C64C5">
            <w:pPr>
              <w:rPr>
                <w:rFonts w:cstheme="minorHAnsi"/>
                <w:color w:val="000000"/>
              </w:rPr>
            </w:pPr>
            <w:r w:rsidRPr="006C4D42">
              <w:rPr>
                <w:rFonts w:cstheme="minorHAnsi"/>
                <w:color w:val="000000" w:themeColor="text1"/>
              </w:rPr>
              <w:t>4.8.1 Ensure that visual communication is utilised to ensure that d/Deaf and hard of hearing visitors have access to the emergency alarms and messages.</w:t>
            </w:r>
          </w:p>
          <w:p w:rsidR="006C4D42" w:rsidRPr="006C4D42" w:rsidRDefault="006C4D42" w:rsidP="005C64C5">
            <w:pPr>
              <w:rPr>
                <w:rFonts w:cstheme="minorHAnsi"/>
                <w:color w:val="000000"/>
              </w:rPr>
            </w:pPr>
          </w:p>
        </w:tc>
        <w:tc>
          <w:tcPr>
            <w:tcW w:w="0" w:type="auto"/>
            <w:shd w:val="clear" w:color="auto" w:fill="auto"/>
          </w:tcPr>
          <w:p w:rsidR="006C4D42" w:rsidRPr="006C4D42" w:rsidRDefault="006C4D42" w:rsidP="005C64C5">
            <w:pPr>
              <w:pStyle w:val="ColorfulShading-Accent31"/>
              <w:spacing w:after="120" w:line="240" w:lineRule="auto"/>
              <w:ind w:left="0"/>
              <w:rPr>
                <w:rFonts w:asciiTheme="minorHAnsi" w:hAnsiTheme="minorHAnsi" w:cstheme="minorHAnsi"/>
              </w:rPr>
            </w:pPr>
            <w:r w:rsidRPr="006C4D42">
              <w:rPr>
                <w:rFonts w:asciiTheme="minorHAnsi" w:hAnsiTheme="minorHAnsi" w:cstheme="minorHAnsi"/>
              </w:rPr>
              <w:t>2024</w:t>
            </w:r>
          </w:p>
        </w:tc>
      </w:tr>
    </w:tbl>
    <w:p w:rsidR="00AD6319" w:rsidRPr="006C4D42" w:rsidRDefault="003541D1" w:rsidP="003541D1">
      <w:pPr>
        <w:rPr>
          <w:rFonts w:cstheme="minorHAnsi"/>
          <w:sz w:val="24"/>
          <w:szCs w:val="24"/>
        </w:rPr>
      </w:pPr>
      <w:r w:rsidRPr="006C4D42">
        <w:rPr>
          <w:rFonts w:cstheme="minorHAnsi"/>
          <w:sz w:val="24"/>
          <w:szCs w:val="24"/>
        </w:rPr>
        <w:br w:type="page"/>
      </w:r>
    </w:p>
    <w:p w:rsidR="003541D1" w:rsidRPr="006C4D42" w:rsidRDefault="003541D1" w:rsidP="003541D1">
      <w:pPr>
        <w:rPr>
          <w:rFonts w:cstheme="minorHAnsi"/>
          <w:b/>
          <w:sz w:val="24"/>
          <w:szCs w:val="24"/>
        </w:rPr>
      </w:pPr>
      <w:r w:rsidRPr="006C4D42">
        <w:rPr>
          <w:rFonts w:cstheme="minorHAnsi"/>
          <w:b/>
          <w:sz w:val="24"/>
          <w:szCs w:val="24"/>
        </w:rPr>
        <w:lastRenderedPageBreak/>
        <w:t>GOVERNANCE, MONITORING AND REVIEW</w:t>
      </w:r>
    </w:p>
    <w:p w:rsidR="003541D1" w:rsidRPr="006C4D42" w:rsidRDefault="003541D1" w:rsidP="003541D1">
      <w:pPr>
        <w:rPr>
          <w:rFonts w:cstheme="minorHAnsi"/>
          <w:b/>
          <w:bCs/>
          <w:sz w:val="24"/>
          <w:szCs w:val="24"/>
        </w:rPr>
      </w:pPr>
      <w:r w:rsidRPr="006C4D42">
        <w:rPr>
          <w:rFonts w:cstheme="minorHAnsi"/>
          <w:b/>
          <w:bCs/>
          <w:sz w:val="24"/>
          <w:szCs w:val="24"/>
        </w:rPr>
        <w:t>Our internal DIAP Working Group</w:t>
      </w:r>
    </w:p>
    <w:p w:rsidR="003541D1" w:rsidRPr="006C4D42" w:rsidRDefault="003541D1" w:rsidP="003541D1">
      <w:pPr>
        <w:rPr>
          <w:rFonts w:cstheme="minorHAnsi"/>
          <w:sz w:val="24"/>
          <w:szCs w:val="24"/>
        </w:rPr>
      </w:pPr>
      <w:r w:rsidRPr="006C4D42">
        <w:rPr>
          <w:rFonts w:cstheme="minorHAnsi"/>
          <w:sz w:val="24"/>
          <w:szCs w:val="24"/>
        </w:rPr>
        <w:t>To steer and guide the development of this DIAP, we established an internal DIAP Working Group, consisting of representatives from across the organisation. From within this Group, we appointed a Project Manager who worked closely with Accessible Arts to provide valuable information throughout the DIAP’s development.</w:t>
      </w:r>
    </w:p>
    <w:p w:rsidR="003541D1" w:rsidRPr="006C4D42" w:rsidRDefault="003541D1" w:rsidP="003541D1">
      <w:pPr>
        <w:rPr>
          <w:rFonts w:cstheme="minorHAnsi"/>
          <w:sz w:val="24"/>
          <w:szCs w:val="24"/>
        </w:rPr>
      </w:pPr>
      <w:r w:rsidRPr="006C4D42">
        <w:rPr>
          <w:rFonts w:cstheme="minorHAnsi"/>
          <w:sz w:val="24"/>
          <w:szCs w:val="24"/>
        </w:rPr>
        <w:t>This group will continue to meet at regular intervals during the DIAP’s implementation phase, to support, monitor and report on progress. Updates from this group will be provided to our Executive team.</w:t>
      </w:r>
    </w:p>
    <w:p w:rsidR="003541D1" w:rsidRPr="006C4D42" w:rsidRDefault="003541D1" w:rsidP="003541D1">
      <w:pPr>
        <w:rPr>
          <w:rFonts w:cstheme="minorHAnsi"/>
          <w:b/>
          <w:bCs/>
          <w:sz w:val="24"/>
          <w:szCs w:val="24"/>
        </w:rPr>
      </w:pPr>
      <w:r w:rsidRPr="006C4D42">
        <w:rPr>
          <w:rFonts w:cstheme="minorHAnsi"/>
          <w:b/>
          <w:bCs/>
          <w:sz w:val="24"/>
          <w:szCs w:val="24"/>
        </w:rPr>
        <w:t>Our external Disability Advisory Group</w:t>
      </w:r>
    </w:p>
    <w:p w:rsidR="003541D1" w:rsidRPr="006C4D42" w:rsidRDefault="003541D1" w:rsidP="003541D1">
      <w:pPr>
        <w:rPr>
          <w:rFonts w:cstheme="minorHAnsi"/>
          <w:sz w:val="24"/>
          <w:szCs w:val="24"/>
        </w:rPr>
      </w:pPr>
      <w:r w:rsidRPr="006C4D42">
        <w:rPr>
          <w:rFonts w:cstheme="minorHAnsi"/>
          <w:sz w:val="24"/>
          <w:szCs w:val="24"/>
        </w:rPr>
        <w:t>As part of this DIAP’s implementation, we will re-establish our external Disability Advisory Group. This group will be critical in bringing a ‘lived experience’ lens to our work, and providing expertise, advice and perspectives to assist our staff in the delivery of this DIAP. We may also engage other experts, partners and stakeholders with disability to assist us with elements of DIAP implementation.</w:t>
      </w:r>
    </w:p>
    <w:p w:rsidR="003541D1" w:rsidRPr="006C4D42" w:rsidRDefault="003541D1" w:rsidP="003541D1">
      <w:pPr>
        <w:rPr>
          <w:rFonts w:cstheme="minorHAnsi"/>
          <w:b/>
          <w:bCs/>
          <w:sz w:val="24"/>
          <w:szCs w:val="24"/>
        </w:rPr>
      </w:pPr>
      <w:r w:rsidRPr="006C4D42">
        <w:rPr>
          <w:rFonts w:cstheme="minorHAnsi"/>
          <w:b/>
          <w:bCs/>
          <w:sz w:val="24"/>
          <w:szCs w:val="24"/>
        </w:rPr>
        <w:t>Reporting</w:t>
      </w:r>
    </w:p>
    <w:p w:rsidR="003541D1" w:rsidRPr="006C4D42" w:rsidRDefault="003541D1" w:rsidP="003541D1">
      <w:pPr>
        <w:rPr>
          <w:rFonts w:cstheme="minorHAnsi"/>
          <w:sz w:val="24"/>
          <w:szCs w:val="24"/>
        </w:rPr>
      </w:pPr>
      <w:r w:rsidRPr="006C4D42">
        <w:rPr>
          <w:rFonts w:cstheme="minorHAnsi"/>
          <w:sz w:val="24"/>
          <w:szCs w:val="24"/>
        </w:rPr>
        <w:t>The internal DIAP Working Group is responsible for sharing regular progress report updates to our Executive Team. We will provide an external report on DIAP progress annually, through our Annual Report, which is shared widely with all our stakeholder groups. In alignment with monitoring and reporting processes across our organisation, we will use a range of measures and measurement tools to track progress against targets.</w:t>
      </w:r>
    </w:p>
    <w:p w:rsidR="003541D1" w:rsidRPr="006C4D42" w:rsidRDefault="003541D1">
      <w:pPr>
        <w:rPr>
          <w:rFonts w:cstheme="minorHAnsi"/>
          <w:sz w:val="24"/>
          <w:szCs w:val="24"/>
        </w:rPr>
      </w:pPr>
      <w:r w:rsidRPr="006C4D42">
        <w:rPr>
          <w:rFonts w:cstheme="minorHAnsi"/>
          <w:sz w:val="24"/>
          <w:szCs w:val="24"/>
        </w:rPr>
        <w:br w:type="page"/>
      </w:r>
    </w:p>
    <w:p w:rsidR="003541D1" w:rsidRPr="006C4D42" w:rsidRDefault="003541D1" w:rsidP="003541D1">
      <w:pPr>
        <w:rPr>
          <w:rFonts w:cstheme="minorHAnsi"/>
          <w:b/>
          <w:sz w:val="24"/>
          <w:szCs w:val="24"/>
        </w:rPr>
      </w:pPr>
      <w:r w:rsidRPr="006C4D42">
        <w:rPr>
          <w:rFonts w:cstheme="minorHAnsi"/>
          <w:b/>
          <w:sz w:val="24"/>
          <w:szCs w:val="24"/>
        </w:rPr>
        <w:lastRenderedPageBreak/>
        <w:t>ACKNOWLEDGMENTS</w:t>
      </w:r>
    </w:p>
    <w:p w:rsidR="003541D1" w:rsidRPr="006C4D42" w:rsidRDefault="003541D1" w:rsidP="003541D1">
      <w:pPr>
        <w:rPr>
          <w:rFonts w:cstheme="minorHAnsi"/>
          <w:sz w:val="24"/>
          <w:szCs w:val="24"/>
        </w:rPr>
      </w:pPr>
      <w:r w:rsidRPr="006C4D42">
        <w:rPr>
          <w:rFonts w:cstheme="minorHAnsi"/>
          <w:sz w:val="24"/>
          <w:szCs w:val="24"/>
        </w:rPr>
        <w:t>The Gallery would like to acknowledge and thank the people who contributed their time and expertise to participate in the development of this DIAP.</w:t>
      </w:r>
    </w:p>
    <w:p w:rsidR="003541D1" w:rsidRPr="006C4D42" w:rsidRDefault="003541D1" w:rsidP="003541D1">
      <w:pPr>
        <w:rPr>
          <w:rFonts w:cstheme="minorHAnsi"/>
          <w:b/>
          <w:bCs/>
          <w:sz w:val="24"/>
          <w:szCs w:val="24"/>
        </w:rPr>
      </w:pPr>
      <w:r w:rsidRPr="006C4D42">
        <w:rPr>
          <w:rFonts w:cstheme="minorHAnsi"/>
          <w:b/>
          <w:bCs/>
          <w:sz w:val="24"/>
          <w:szCs w:val="24"/>
        </w:rPr>
        <w:t>Our internal DIAP Working Group</w:t>
      </w:r>
    </w:p>
    <w:p w:rsidR="003541D1" w:rsidRPr="006C4D42" w:rsidRDefault="003541D1" w:rsidP="003541D1">
      <w:pPr>
        <w:rPr>
          <w:rFonts w:cstheme="minorHAnsi"/>
          <w:sz w:val="24"/>
          <w:szCs w:val="24"/>
        </w:rPr>
      </w:pPr>
      <w:r w:rsidRPr="006C4D42">
        <w:rPr>
          <w:rFonts w:cstheme="minorHAnsi"/>
          <w:sz w:val="24"/>
          <w:szCs w:val="24"/>
        </w:rPr>
        <w:t>Tristan Hoffmeister, Director, Access and Learning</w:t>
      </w:r>
    </w:p>
    <w:p w:rsidR="003541D1" w:rsidRPr="006C4D42" w:rsidRDefault="003541D1" w:rsidP="003541D1">
      <w:pPr>
        <w:rPr>
          <w:rFonts w:cstheme="minorHAnsi"/>
          <w:sz w:val="24"/>
          <w:szCs w:val="24"/>
        </w:rPr>
      </w:pPr>
      <w:r w:rsidRPr="006C4D42">
        <w:rPr>
          <w:rFonts w:cstheme="minorHAnsi"/>
          <w:sz w:val="24"/>
          <w:szCs w:val="24"/>
        </w:rPr>
        <w:t>Alana Sivell, Program Coordinator, Access and Learning</w:t>
      </w:r>
    </w:p>
    <w:p w:rsidR="003541D1" w:rsidRPr="006C4D42" w:rsidRDefault="003541D1" w:rsidP="003541D1">
      <w:pPr>
        <w:rPr>
          <w:rFonts w:cstheme="minorHAnsi"/>
          <w:sz w:val="24"/>
          <w:szCs w:val="24"/>
        </w:rPr>
      </w:pPr>
      <w:r w:rsidRPr="006C4D42">
        <w:rPr>
          <w:rFonts w:cstheme="minorHAnsi"/>
          <w:sz w:val="24"/>
          <w:szCs w:val="24"/>
        </w:rPr>
        <w:t>Annette Twyman, Visitor Services Coordinator, Access and Learning</w:t>
      </w:r>
    </w:p>
    <w:p w:rsidR="003541D1" w:rsidRPr="006C4D42" w:rsidRDefault="003541D1" w:rsidP="003541D1">
      <w:pPr>
        <w:rPr>
          <w:rFonts w:cstheme="minorHAnsi"/>
          <w:sz w:val="24"/>
          <w:szCs w:val="24"/>
        </w:rPr>
      </w:pPr>
      <w:r w:rsidRPr="006C4D42">
        <w:rPr>
          <w:rFonts w:cstheme="minorHAnsi"/>
          <w:sz w:val="24"/>
          <w:szCs w:val="24"/>
        </w:rPr>
        <w:t>Joanna Gilmour, Curator Collection and Research, Collection and Exhibitions</w:t>
      </w:r>
    </w:p>
    <w:p w:rsidR="003541D1" w:rsidRPr="006C4D42" w:rsidRDefault="003541D1" w:rsidP="003541D1">
      <w:pPr>
        <w:rPr>
          <w:rFonts w:cstheme="minorHAnsi"/>
          <w:sz w:val="24"/>
          <w:szCs w:val="24"/>
        </w:rPr>
      </w:pPr>
      <w:r w:rsidRPr="006C4D42">
        <w:rPr>
          <w:rFonts w:cstheme="minorHAnsi"/>
          <w:sz w:val="24"/>
          <w:szCs w:val="24"/>
        </w:rPr>
        <w:t>Penny Grist, former Curator Exhibitions, Collection and Exhibitions</w:t>
      </w:r>
    </w:p>
    <w:p w:rsidR="003541D1" w:rsidRPr="006C4D42" w:rsidRDefault="003541D1" w:rsidP="003541D1">
      <w:pPr>
        <w:rPr>
          <w:rFonts w:cstheme="minorHAnsi"/>
          <w:sz w:val="24"/>
          <w:szCs w:val="24"/>
        </w:rPr>
      </w:pPr>
      <w:r w:rsidRPr="006C4D42">
        <w:rPr>
          <w:rFonts w:cstheme="minorHAnsi"/>
          <w:sz w:val="24"/>
          <w:szCs w:val="24"/>
        </w:rPr>
        <w:t>Patrick Cox, Programmer, External Relations</w:t>
      </w:r>
    </w:p>
    <w:p w:rsidR="003541D1" w:rsidRPr="006C4D42" w:rsidRDefault="003541D1" w:rsidP="003541D1">
      <w:pPr>
        <w:rPr>
          <w:rFonts w:cstheme="minorHAnsi"/>
          <w:sz w:val="24"/>
          <w:szCs w:val="24"/>
        </w:rPr>
      </w:pPr>
      <w:r w:rsidRPr="006C4D42">
        <w:rPr>
          <w:rFonts w:cstheme="minorHAnsi"/>
          <w:sz w:val="24"/>
          <w:szCs w:val="24"/>
        </w:rPr>
        <w:t>Taryn Crick, Manager People and Performance, Corporate Services</w:t>
      </w:r>
    </w:p>
    <w:p w:rsidR="003541D1" w:rsidRPr="006C4D42" w:rsidRDefault="003541D1" w:rsidP="003541D1">
      <w:pPr>
        <w:rPr>
          <w:rFonts w:cstheme="minorHAnsi"/>
          <w:b/>
          <w:bCs/>
          <w:sz w:val="24"/>
          <w:szCs w:val="24"/>
        </w:rPr>
      </w:pPr>
      <w:r w:rsidRPr="006C4D42">
        <w:rPr>
          <w:rFonts w:cstheme="minorHAnsi"/>
          <w:b/>
          <w:bCs/>
          <w:sz w:val="24"/>
          <w:szCs w:val="24"/>
        </w:rPr>
        <w:t>Our community</w:t>
      </w:r>
    </w:p>
    <w:p w:rsidR="003541D1" w:rsidRPr="006C4D42" w:rsidRDefault="003541D1" w:rsidP="003541D1">
      <w:pPr>
        <w:rPr>
          <w:rFonts w:cstheme="minorHAnsi"/>
          <w:sz w:val="24"/>
          <w:szCs w:val="24"/>
        </w:rPr>
      </w:pPr>
      <w:r w:rsidRPr="006C4D42">
        <w:rPr>
          <w:rFonts w:cstheme="minorHAnsi"/>
          <w:sz w:val="24"/>
          <w:szCs w:val="24"/>
        </w:rPr>
        <w:t>External interview and focus group participants and survey respondents.</w:t>
      </w:r>
    </w:p>
    <w:p w:rsidR="003541D1" w:rsidRPr="006C4D42" w:rsidRDefault="003541D1" w:rsidP="003541D1">
      <w:pPr>
        <w:rPr>
          <w:rFonts w:cstheme="minorHAnsi"/>
          <w:sz w:val="24"/>
          <w:szCs w:val="24"/>
        </w:rPr>
      </w:pPr>
      <w:r w:rsidRPr="006C4D42">
        <w:rPr>
          <w:rFonts w:cstheme="minorHAnsi"/>
          <w:sz w:val="24"/>
          <w:szCs w:val="24"/>
        </w:rPr>
        <w:t>Our valued audience members, partners and other stakeholders who have provided feedback over the last few years.</w:t>
      </w:r>
    </w:p>
    <w:p w:rsidR="003541D1" w:rsidRPr="006C4D42" w:rsidRDefault="003541D1" w:rsidP="003541D1">
      <w:pPr>
        <w:rPr>
          <w:rFonts w:cstheme="minorHAnsi"/>
          <w:sz w:val="24"/>
          <w:szCs w:val="24"/>
        </w:rPr>
      </w:pPr>
      <w:r w:rsidRPr="006C4D42">
        <w:rPr>
          <w:rFonts w:cstheme="minorHAnsi"/>
          <w:sz w:val="24"/>
          <w:szCs w:val="24"/>
        </w:rPr>
        <w:t>Our staff, contractors and volunteers who completed our survey and engaged in our interview and workshop processes.</w:t>
      </w:r>
    </w:p>
    <w:p w:rsidR="003541D1" w:rsidRPr="006C4D42" w:rsidRDefault="003541D1" w:rsidP="003541D1">
      <w:pPr>
        <w:rPr>
          <w:rFonts w:cstheme="minorHAnsi"/>
          <w:b/>
          <w:bCs/>
          <w:sz w:val="24"/>
          <w:szCs w:val="24"/>
        </w:rPr>
      </w:pPr>
      <w:r w:rsidRPr="006C4D42">
        <w:rPr>
          <w:rFonts w:cstheme="minorHAnsi"/>
          <w:b/>
          <w:bCs/>
          <w:sz w:val="24"/>
          <w:szCs w:val="24"/>
        </w:rPr>
        <w:t>Accessible Arts and access consultants</w:t>
      </w:r>
    </w:p>
    <w:p w:rsidR="003541D1" w:rsidRPr="006C4D42" w:rsidRDefault="003541D1" w:rsidP="003541D1">
      <w:pPr>
        <w:rPr>
          <w:rFonts w:cstheme="minorHAnsi"/>
          <w:sz w:val="24"/>
          <w:szCs w:val="24"/>
        </w:rPr>
      </w:pPr>
      <w:r w:rsidRPr="006C4D42">
        <w:rPr>
          <w:rFonts w:cstheme="minorHAnsi"/>
          <w:sz w:val="24"/>
          <w:szCs w:val="24"/>
        </w:rPr>
        <w:t>Liz Martin, CEO (Chief Executive Officer), Accessible Arts</w:t>
      </w:r>
    </w:p>
    <w:p w:rsidR="003541D1" w:rsidRPr="006C4D42" w:rsidRDefault="003541D1" w:rsidP="003541D1">
      <w:pPr>
        <w:rPr>
          <w:rFonts w:cstheme="minorHAnsi"/>
          <w:sz w:val="24"/>
          <w:szCs w:val="24"/>
        </w:rPr>
      </w:pPr>
      <w:r w:rsidRPr="006C4D42">
        <w:rPr>
          <w:rFonts w:cstheme="minorHAnsi"/>
          <w:sz w:val="24"/>
          <w:szCs w:val="24"/>
        </w:rPr>
        <w:t>Marika Perrow, Arts Development Manager, Accessible Arts</w:t>
      </w:r>
    </w:p>
    <w:p w:rsidR="003541D1" w:rsidRPr="006C4D42" w:rsidRDefault="003541D1" w:rsidP="003541D1">
      <w:pPr>
        <w:rPr>
          <w:rFonts w:cstheme="minorHAnsi"/>
          <w:sz w:val="24"/>
          <w:szCs w:val="24"/>
        </w:rPr>
      </w:pPr>
      <w:r w:rsidRPr="006C4D42">
        <w:rPr>
          <w:rFonts w:cstheme="minorHAnsi"/>
          <w:sz w:val="24"/>
          <w:szCs w:val="24"/>
        </w:rPr>
        <w:t>Morwenna Collett, Access Consultant</w:t>
      </w:r>
    </w:p>
    <w:p w:rsidR="003541D1" w:rsidRPr="006C4D42" w:rsidRDefault="003541D1">
      <w:pPr>
        <w:rPr>
          <w:rFonts w:cstheme="minorHAnsi"/>
          <w:sz w:val="24"/>
          <w:szCs w:val="24"/>
        </w:rPr>
      </w:pPr>
      <w:r w:rsidRPr="006C4D42">
        <w:rPr>
          <w:rFonts w:cstheme="minorHAnsi"/>
          <w:sz w:val="24"/>
          <w:szCs w:val="24"/>
        </w:rPr>
        <w:br w:type="page"/>
      </w:r>
    </w:p>
    <w:p w:rsidR="003541D1" w:rsidRPr="006C4D42" w:rsidRDefault="003541D1" w:rsidP="003541D1">
      <w:pPr>
        <w:rPr>
          <w:rFonts w:cstheme="minorHAnsi"/>
          <w:b/>
          <w:sz w:val="24"/>
          <w:szCs w:val="24"/>
        </w:rPr>
      </w:pPr>
      <w:r w:rsidRPr="006C4D42">
        <w:rPr>
          <w:rFonts w:cstheme="minorHAnsi"/>
          <w:b/>
          <w:sz w:val="24"/>
          <w:szCs w:val="24"/>
        </w:rPr>
        <w:lastRenderedPageBreak/>
        <w:t>CONTACT US</w:t>
      </w:r>
    </w:p>
    <w:p w:rsidR="003541D1" w:rsidRPr="006C4D42" w:rsidRDefault="003541D1" w:rsidP="003541D1">
      <w:pPr>
        <w:rPr>
          <w:rFonts w:cstheme="minorHAnsi"/>
          <w:sz w:val="24"/>
          <w:szCs w:val="24"/>
        </w:rPr>
      </w:pPr>
      <w:r w:rsidRPr="006C4D42">
        <w:rPr>
          <w:rFonts w:cstheme="minorHAnsi"/>
          <w:sz w:val="24"/>
          <w:szCs w:val="24"/>
        </w:rPr>
        <w:t>We value community feedback on our progress in meeting the goals and actions outlined in our DIAP. We encourage individuals and organisations to share their thoughts, ideas and experiences with us to ensure our continued improvement.</w:t>
      </w:r>
    </w:p>
    <w:p w:rsidR="003541D1" w:rsidRPr="006C4D42" w:rsidRDefault="003541D1" w:rsidP="003541D1">
      <w:pPr>
        <w:rPr>
          <w:rFonts w:cstheme="minorHAnsi"/>
          <w:sz w:val="24"/>
          <w:szCs w:val="24"/>
        </w:rPr>
      </w:pPr>
      <w:r w:rsidRPr="006C4D42">
        <w:rPr>
          <w:rFonts w:cstheme="minorHAnsi"/>
          <w:sz w:val="24"/>
          <w:szCs w:val="24"/>
        </w:rPr>
        <w:t>For enquiries, feedback and services, please contact:</w:t>
      </w:r>
    </w:p>
    <w:p w:rsidR="003541D1" w:rsidRPr="006C4D42" w:rsidRDefault="003541D1" w:rsidP="003541D1">
      <w:pPr>
        <w:rPr>
          <w:rFonts w:cstheme="minorHAnsi"/>
          <w:sz w:val="24"/>
          <w:szCs w:val="24"/>
        </w:rPr>
      </w:pPr>
      <w:r w:rsidRPr="006C4D42">
        <w:rPr>
          <w:rFonts w:cstheme="minorHAnsi"/>
          <w:sz w:val="24"/>
          <w:szCs w:val="24"/>
        </w:rPr>
        <w:t>Email: info@npg.gov.au</w:t>
      </w:r>
    </w:p>
    <w:p w:rsidR="003541D1" w:rsidRPr="006C4D42" w:rsidRDefault="003541D1" w:rsidP="003541D1">
      <w:pPr>
        <w:rPr>
          <w:rFonts w:cstheme="minorHAnsi"/>
          <w:sz w:val="24"/>
          <w:szCs w:val="24"/>
        </w:rPr>
      </w:pPr>
      <w:r w:rsidRPr="006C4D42">
        <w:rPr>
          <w:rFonts w:cstheme="minorHAnsi"/>
          <w:sz w:val="24"/>
          <w:szCs w:val="24"/>
        </w:rPr>
        <w:t>Telephone: +61 2 6102 7000</w:t>
      </w:r>
    </w:p>
    <w:p w:rsidR="003541D1" w:rsidRPr="006C4D42" w:rsidRDefault="003541D1" w:rsidP="003541D1">
      <w:pPr>
        <w:rPr>
          <w:rFonts w:cstheme="minorHAnsi"/>
          <w:sz w:val="24"/>
          <w:szCs w:val="24"/>
        </w:rPr>
      </w:pPr>
      <w:r w:rsidRPr="006C4D42">
        <w:rPr>
          <w:rFonts w:cstheme="minorHAnsi"/>
          <w:sz w:val="24"/>
          <w:szCs w:val="24"/>
        </w:rPr>
        <w:t>For a free interpreter call us via the Translating and Interpreting Service (TIS) on 131 450.</w:t>
      </w:r>
    </w:p>
    <w:p w:rsidR="003541D1" w:rsidRPr="006C4D42" w:rsidRDefault="003541D1" w:rsidP="003541D1">
      <w:pPr>
        <w:rPr>
          <w:rFonts w:cstheme="minorHAnsi"/>
          <w:sz w:val="24"/>
          <w:szCs w:val="24"/>
        </w:rPr>
      </w:pPr>
      <w:r w:rsidRPr="006C4D42">
        <w:rPr>
          <w:rFonts w:cstheme="minorHAnsi"/>
          <w:sz w:val="24"/>
          <w:szCs w:val="24"/>
        </w:rPr>
        <w:t>If you are d/Deaf, hard of hearing or have a speech impairment, please contact us via the National Relay Service: 1800 555 660.</w:t>
      </w:r>
    </w:p>
    <w:p w:rsidR="003541D1" w:rsidRPr="006C4D42" w:rsidRDefault="003541D1" w:rsidP="003541D1">
      <w:pPr>
        <w:rPr>
          <w:rFonts w:cstheme="minorHAnsi"/>
          <w:b/>
          <w:bCs/>
          <w:sz w:val="24"/>
          <w:szCs w:val="24"/>
        </w:rPr>
      </w:pPr>
      <w:r w:rsidRPr="006C4D42">
        <w:rPr>
          <w:rFonts w:cstheme="minorHAnsi"/>
          <w:b/>
          <w:bCs/>
          <w:sz w:val="24"/>
          <w:szCs w:val="24"/>
        </w:rPr>
        <w:t>Alternative formats</w:t>
      </w:r>
    </w:p>
    <w:p w:rsidR="003541D1" w:rsidRPr="006C4D42" w:rsidRDefault="003541D1" w:rsidP="003541D1">
      <w:pPr>
        <w:rPr>
          <w:rFonts w:cstheme="minorHAnsi"/>
          <w:sz w:val="24"/>
          <w:szCs w:val="24"/>
        </w:rPr>
      </w:pPr>
      <w:r w:rsidRPr="006C4D42">
        <w:rPr>
          <w:rFonts w:cstheme="minorHAnsi"/>
          <w:sz w:val="24"/>
          <w:szCs w:val="24"/>
        </w:rPr>
        <w:t>Our DIAP is available to the public through our website, with both PDF and Word versions available. Hard copy formats in both large and standard print and other alternative formats are also available on request. This DIAP is also registered with the Australian Human Rights Commission (AHRC).</w:t>
      </w:r>
    </w:p>
    <w:sectPr w:rsidR="003541D1" w:rsidRPr="006C4D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35EDD"/>
    <w:multiLevelType w:val="multilevel"/>
    <w:tmpl w:val="439633B6"/>
    <w:lvl w:ilvl="0">
      <w:start w:val="1"/>
      <w:numFmt w:val="decimal"/>
      <w:lvlText w:val="%1"/>
      <w:lvlJc w:val="left"/>
      <w:pPr>
        <w:ind w:left="480" w:hanging="480"/>
      </w:pPr>
      <w:rPr>
        <w:rFonts w:hint="default"/>
        <w:color w:val="231F20"/>
      </w:rPr>
    </w:lvl>
    <w:lvl w:ilvl="1">
      <w:start w:val="2"/>
      <w:numFmt w:val="decimal"/>
      <w:lvlText w:val="%1.%2"/>
      <w:lvlJc w:val="left"/>
      <w:pPr>
        <w:ind w:left="480" w:hanging="480"/>
      </w:pPr>
      <w:rPr>
        <w:rFonts w:hint="default"/>
        <w:color w:val="231F20"/>
      </w:rPr>
    </w:lvl>
    <w:lvl w:ilvl="2">
      <w:start w:val="2"/>
      <w:numFmt w:val="decimal"/>
      <w:lvlText w:val="%1.%2.%3"/>
      <w:lvlJc w:val="left"/>
      <w:pPr>
        <w:ind w:left="720" w:hanging="720"/>
      </w:pPr>
      <w:rPr>
        <w:rFonts w:hint="default"/>
        <w:color w:val="231F20"/>
      </w:rPr>
    </w:lvl>
    <w:lvl w:ilvl="3">
      <w:start w:val="1"/>
      <w:numFmt w:val="decimal"/>
      <w:lvlText w:val="%1.%2.%3.%4"/>
      <w:lvlJc w:val="left"/>
      <w:pPr>
        <w:ind w:left="720" w:hanging="720"/>
      </w:pPr>
      <w:rPr>
        <w:rFonts w:hint="default"/>
        <w:color w:val="231F20"/>
      </w:rPr>
    </w:lvl>
    <w:lvl w:ilvl="4">
      <w:start w:val="1"/>
      <w:numFmt w:val="decimal"/>
      <w:lvlText w:val="%1.%2.%3.%4.%5"/>
      <w:lvlJc w:val="left"/>
      <w:pPr>
        <w:ind w:left="1080" w:hanging="1080"/>
      </w:pPr>
      <w:rPr>
        <w:rFonts w:hint="default"/>
        <w:color w:val="231F20"/>
      </w:rPr>
    </w:lvl>
    <w:lvl w:ilvl="5">
      <w:start w:val="1"/>
      <w:numFmt w:val="decimal"/>
      <w:lvlText w:val="%1.%2.%3.%4.%5.%6"/>
      <w:lvlJc w:val="left"/>
      <w:pPr>
        <w:ind w:left="1080" w:hanging="1080"/>
      </w:pPr>
      <w:rPr>
        <w:rFonts w:hint="default"/>
        <w:color w:val="231F20"/>
      </w:rPr>
    </w:lvl>
    <w:lvl w:ilvl="6">
      <w:start w:val="1"/>
      <w:numFmt w:val="decimal"/>
      <w:lvlText w:val="%1.%2.%3.%4.%5.%6.%7"/>
      <w:lvlJc w:val="left"/>
      <w:pPr>
        <w:ind w:left="1440" w:hanging="1440"/>
      </w:pPr>
      <w:rPr>
        <w:rFonts w:hint="default"/>
        <w:color w:val="231F20"/>
      </w:rPr>
    </w:lvl>
    <w:lvl w:ilvl="7">
      <w:start w:val="1"/>
      <w:numFmt w:val="decimal"/>
      <w:lvlText w:val="%1.%2.%3.%4.%5.%6.%7.%8"/>
      <w:lvlJc w:val="left"/>
      <w:pPr>
        <w:ind w:left="1440" w:hanging="1440"/>
      </w:pPr>
      <w:rPr>
        <w:rFonts w:hint="default"/>
        <w:color w:val="231F20"/>
      </w:rPr>
    </w:lvl>
    <w:lvl w:ilvl="8">
      <w:start w:val="1"/>
      <w:numFmt w:val="decimal"/>
      <w:lvlText w:val="%1.%2.%3.%4.%5.%6.%7.%8.%9"/>
      <w:lvlJc w:val="left"/>
      <w:pPr>
        <w:ind w:left="1800" w:hanging="1800"/>
      </w:pPr>
      <w:rPr>
        <w:rFonts w:hint="default"/>
        <w:color w:val="231F20"/>
      </w:rPr>
    </w:lvl>
  </w:abstractNum>
  <w:abstractNum w:abstractNumId="1" w15:restartNumberingAfterBreak="0">
    <w:nsid w:val="0DFB7881"/>
    <w:multiLevelType w:val="hybridMultilevel"/>
    <w:tmpl w:val="710C50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F279FA"/>
    <w:multiLevelType w:val="hybridMultilevel"/>
    <w:tmpl w:val="7DAC96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1121F90"/>
    <w:multiLevelType w:val="multilevel"/>
    <w:tmpl w:val="2A02089E"/>
    <w:lvl w:ilvl="0">
      <w:start w:val="2"/>
      <w:numFmt w:val="decimal"/>
      <w:lvlText w:val="%1"/>
      <w:lvlJc w:val="left"/>
      <w:pPr>
        <w:ind w:left="360" w:hanging="360"/>
      </w:pPr>
      <w:rPr>
        <w:rFonts w:hint="default"/>
        <w:color w:val="231F20"/>
        <w:w w:val="110"/>
      </w:rPr>
    </w:lvl>
    <w:lvl w:ilvl="1">
      <w:start w:val="1"/>
      <w:numFmt w:val="decimal"/>
      <w:lvlText w:val="%1.%2"/>
      <w:lvlJc w:val="left"/>
      <w:pPr>
        <w:ind w:left="473" w:hanging="360"/>
      </w:pPr>
      <w:rPr>
        <w:rFonts w:hint="default"/>
        <w:color w:val="231F20"/>
        <w:w w:val="110"/>
      </w:rPr>
    </w:lvl>
    <w:lvl w:ilvl="2">
      <w:start w:val="1"/>
      <w:numFmt w:val="decimal"/>
      <w:lvlText w:val="%1.%2.%3"/>
      <w:lvlJc w:val="left"/>
      <w:pPr>
        <w:ind w:left="946" w:hanging="720"/>
      </w:pPr>
      <w:rPr>
        <w:rFonts w:hint="default"/>
        <w:color w:val="231F20"/>
        <w:w w:val="110"/>
      </w:rPr>
    </w:lvl>
    <w:lvl w:ilvl="3">
      <w:start w:val="1"/>
      <w:numFmt w:val="decimal"/>
      <w:lvlText w:val="%1.%2.%3.%4"/>
      <w:lvlJc w:val="left"/>
      <w:pPr>
        <w:ind w:left="1059" w:hanging="720"/>
      </w:pPr>
      <w:rPr>
        <w:rFonts w:hint="default"/>
        <w:color w:val="231F20"/>
        <w:w w:val="110"/>
      </w:rPr>
    </w:lvl>
    <w:lvl w:ilvl="4">
      <w:start w:val="1"/>
      <w:numFmt w:val="decimal"/>
      <w:lvlText w:val="%1.%2.%3.%4.%5"/>
      <w:lvlJc w:val="left"/>
      <w:pPr>
        <w:ind w:left="1532" w:hanging="1080"/>
      </w:pPr>
      <w:rPr>
        <w:rFonts w:hint="default"/>
        <w:color w:val="231F20"/>
        <w:w w:val="110"/>
      </w:rPr>
    </w:lvl>
    <w:lvl w:ilvl="5">
      <w:start w:val="1"/>
      <w:numFmt w:val="decimal"/>
      <w:lvlText w:val="%1.%2.%3.%4.%5.%6"/>
      <w:lvlJc w:val="left"/>
      <w:pPr>
        <w:ind w:left="1645" w:hanging="1080"/>
      </w:pPr>
      <w:rPr>
        <w:rFonts w:hint="default"/>
        <w:color w:val="231F20"/>
        <w:w w:val="110"/>
      </w:rPr>
    </w:lvl>
    <w:lvl w:ilvl="6">
      <w:start w:val="1"/>
      <w:numFmt w:val="decimal"/>
      <w:lvlText w:val="%1.%2.%3.%4.%5.%6.%7"/>
      <w:lvlJc w:val="left"/>
      <w:pPr>
        <w:ind w:left="2118" w:hanging="1440"/>
      </w:pPr>
      <w:rPr>
        <w:rFonts w:hint="default"/>
        <w:color w:val="231F20"/>
        <w:w w:val="110"/>
      </w:rPr>
    </w:lvl>
    <w:lvl w:ilvl="7">
      <w:start w:val="1"/>
      <w:numFmt w:val="decimal"/>
      <w:lvlText w:val="%1.%2.%3.%4.%5.%6.%7.%8"/>
      <w:lvlJc w:val="left"/>
      <w:pPr>
        <w:ind w:left="2231" w:hanging="1440"/>
      </w:pPr>
      <w:rPr>
        <w:rFonts w:hint="default"/>
        <w:color w:val="231F20"/>
        <w:w w:val="110"/>
      </w:rPr>
    </w:lvl>
    <w:lvl w:ilvl="8">
      <w:start w:val="1"/>
      <w:numFmt w:val="decimal"/>
      <w:lvlText w:val="%1.%2.%3.%4.%5.%6.%7.%8.%9"/>
      <w:lvlJc w:val="left"/>
      <w:pPr>
        <w:ind w:left="2704" w:hanging="1800"/>
      </w:pPr>
      <w:rPr>
        <w:rFonts w:hint="default"/>
        <w:color w:val="231F20"/>
        <w:w w:val="110"/>
      </w:rPr>
    </w:lvl>
  </w:abstractNum>
  <w:abstractNum w:abstractNumId="4" w15:restartNumberingAfterBreak="0">
    <w:nsid w:val="1D4B7B91"/>
    <w:multiLevelType w:val="multilevel"/>
    <w:tmpl w:val="939C4D20"/>
    <w:lvl w:ilvl="0">
      <w:start w:val="1"/>
      <w:numFmt w:val="decimal"/>
      <w:lvlText w:val="%1"/>
      <w:lvlJc w:val="left"/>
      <w:pPr>
        <w:ind w:left="113" w:hanging="133"/>
      </w:pPr>
      <w:rPr>
        <w:rFonts w:ascii="Calibri" w:eastAsia="Calibri" w:hAnsi="Calibri" w:cs="Calibri" w:hint="default"/>
        <w:b w:val="0"/>
        <w:bCs w:val="0"/>
        <w:i w:val="0"/>
        <w:iCs w:val="0"/>
        <w:color w:val="231F20"/>
        <w:w w:val="64"/>
        <w:sz w:val="24"/>
        <w:szCs w:val="24"/>
        <w:lang w:val="en-US" w:eastAsia="en-US" w:bidi="ar-SA"/>
      </w:rPr>
    </w:lvl>
    <w:lvl w:ilvl="1">
      <w:start w:val="1"/>
      <w:numFmt w:val="decimal"/>
      <w:lvlText w:val="%1.%2"/>
      <w:lvlJc w:val="left"/>
      <w:pPr>
        <w:ind w:left="624" w:hanging="511"/>
      </w:pPr>
      <w:rPr>
        <w:rFonts w:ascii="Calibri" w:eastAsia="Calibri" w:hAnsi="Calibri" w:cs="Calibri" w:hint="default"/>
        <w:b/>
        <w:bCs/>
        <w:i w:val="0"/>
        <w:iCs w:val="0"/>
        <w:color w:val="231F20"/>
        <w:spacing w:val="-9"/>
        <w:w w:val="76"/>
        <w:sz w:val="24"/>
        <w:szCs w:val="24"/>
        <w:lang w:val="en-US" w:eastAsia="en-US" w:bidi="ar-SA"/>
      </w:rPr>
    </w:lvl>
    <w:lvl w:ilvl="2">
      <w:start w:val="1"/>
      <w:numFmt w:val="decimal"/>
      <w:lvlText w:val="%1.%2.%3"/>
      <w:lvlJc w:val="left"/>
      <w:pPr>
        <w:ind w:left="795" w:hanging="681"/>
      </w:pPr>
      <w:rPr>
        <w:rFonts w:asciiTheme="minorHAnsi" w:eastAsia="Calibri" w:hAnsiTheme="minorHAnsi" w:cstheme="minorHAnsi" w:hint="default"/>
        <w:b w:val="0"/>
        <w:bCs w:val="0"/>
        <w:i w:val="0"/>
        <w:iCs w:val="0"/>
        <w:color w:val="231F20"/>
        <w:spacing w:val="-9"/>
        <w:w w:val="64"/>
        <w:sz w:val="24"/>
        <w:szCs w:val="24"/>
        <w:lang w:val="en-US" w:eastAsia="en-US" w:bidi="ar-SA"/>
      </w:rPr>
    </w:lvl>
    <w:lvl w:ilvl="3">
      <w:numFmt w:val="bullet"/>
      <w:lvlText w:val="•"/>
      <w:lvlJc w:val="left"/>
      <w:pPr>
        <w:ind w:left="671" w:hanging="681"/>
      </w:pPr>
      <w:rPr>
        <w:rFonts w:hint="default"/>
        <w:lang w:val="en-US" w:eastAsia="en-US" w:bidi="ar-SA"/>
      </w:rPr>
    </w:lvl>
    <w:lvl w:ilvl="4">
      <w:numFmt w:val="bullet"/>
      <w:lvlText w:val="•"/>
      <w:lvlJc w:val="left"/>
      <w:pPr>
        <w:ind w:left="543" w:hanging="681"/>
      </w:pPr>
      <w:rPr>
        <w:rFonts w:hint="default"/>
        <w:lang w:val="en-US" w:eastAsia="en-US" w:bidi="ar-SA"/>
      </w:rPr>
    </w:lvl>
    <w:lvl w:ilvl="5">
      <w:numFmt w:val="bullet"/>
      <w:lvlText w:val="•"/>
      <w:lvlJc w:val="left"/>
      <w:pPr>
        <w:ind w:left="414" w:hanging="681"/>
      </w:pPr>
      <w:rPr>
        <w:rFonts w:hint="default"/>
        <w:lang w:val="en-US" w:eastAsia="en-US" w:bidi="ar-SA"/>
      </w:rPr>
    </w:lvl>
    <w:lvl w:ilvl="6">
      <w:numFmt w:val="bullet"/>
      <w:lvlText w:val="•"/>
      <w:lvlJc w:val="left"/>
      <w:pPr>
        <w:ind w:left="286" w:hanging="681"/>
      </w:pPr>
      <w:rPr>
        <w:rFonts w:hint="default"/>
        <w:lang w:val="en-US" w:eastAsia="en-US" w:bidi="ar-SA"/>
      </w:rPr>
    </w:lvl>
    <w:lvl w:ilvl="7">
      <w:numFmt w:val="bullet"/>
      <w:lvlText w:val="•"/>
      <w:lvlJc w:val="left"/>
      <w:pPr>
        <w:ind w:left="158" w:hanging="681"/>
      </w:pPr>
      <w:rPr>
        <w:rFonts w:hint="default"/>
        <w:lang w:val="en-US" w:eastAsia="en-US" w:bidi="ar-SA"/>
      </w:rPr>
    </w:lvl>
    <w:lvl w:ilvl="8">
      <w:numFmt w:val="bullet"/>
      <w:lvlText w:val="•"/>
      <w:lvlJc w:val="left"/>
      <w:pPr>
        <w:ind w:left="29" w:hanging="681"/>
      </w:pPr>
      <w:rPr>
        <w:rFonts w:hint="default"/>
        <w:lang w:val="en-US" w:eastAsia="en-US" w:bidi="ar-SA"/>
      </w:rPr>
    </w:lvl>
  </w:abstractNum>
  <w:abstractNum w:abstractNumId="5" w15:restartNumberingAfterBreak="0">
    <w:nsid w:val="1DA02F4F"/>
    <w:multiLevelType w:val="hybridMultilevel"/>
    <w:tmpl w:val="4DAAD7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E734F0C"/>
    <w:multiLevelType w:val="hybridMultilevel"/>
    <w:tmpl w:val="86BA18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6891B90"/>
    <w:multiLevelType w:val="multilevel"/>
    <w:tmpl w:val="05D2A5CE"/>
    <w:lvl w:ilvl="0">
      <w:start w:val="1"/>
      <w:numFmt w:val="decimal"/>
      <w:lvlText w:val="%1"/>
      <w:lvlJc w:val="left"/>
      <w:pPr>
        <w:ind w:left="794" w:hanging="681"/>
      </w:pPr>
      <w:rPr>
        <w:rFonts w:hint="default"/>
        <w:lang w:val="en-US" w:eastAsia="en-US" w:bidi="ar-SA"/>
      </w:rPr>
    </w:lvl>
    <w:lvl w:ilvl="1">
      <w:start w:val="2"/>
      <w:numFmt w:val="decimal"/>
      <w:lvlText w:val="%1.%2"/>
      <w:lvlJc w:val="left"/>
      <w:pPr>
        <w:ind w:left="794" w:hanging="681"/>
      </w:pPr>
      <w:rPr>
        <w:rFonts w:hint="default"/>
        <w:lang w:val="en-US" w:eastAsia="en-US" w:bidi="ar-SA"/>
      </w:rPr>
    </w:lvl>
    <w:lvl w:ilvl="2">
      <w:start w:val="1"/>
      <w:numFmt w:val="decimal"/>
      <w:lvlText w:val="%1.%2.%3"/>
      <w:lvlJc w:val="left"/>
      <w:pPr>
        <w:ind w:left="794" w:hanging="681"/>
      </w:pPr>
      <w:rPr>
        <w:rFonts w:ascii="Calibri" w:eastAsia="Calibri" w:hAnsi="Calibri" w:cs="Calibri" w:hint="default"/>
        <w:b w:val="0"/>
        <w:bCs w:val="0"/>
        <w:i w:val="0"/>
        <w:iCs w:val="0"/>
        <w:color w:val="231F20"/>
        <w:spacing w:val="-9"/>
        <w:w w:val="64"/>
        <w:sz w:val="24"/>
        <w:szCs w:val="24"/>
        <w:lang w:val="en-US" w:eastAsia="en-US" w:bidi="ar-SA"/>
      </w:rPr>
    </w:lvl>
    <w:lvl w:ilvl="3">
      <w:numFmt w:val="bullet"/>
      <w:lvlText w:val="•"/>
      <w:lvlJc w:val="left"/>
      <w:pPr>
        <w:ind w:left="2677" w:hanging="681"/>
      </w:pPr>
      <w:rPr>
        <w:rFonts w:hint="default"/>
        <w:lang w:val="en-US" w:eastAsia="en-US" w:bidi="ar-SA"/>
      </w:rPr>
    </w:lvl>
    <w:lvl w:ilvl="4">
      <w:numFmt w:val="bullet"/>
      <w:lvlText w:val="•"/>
      <w:lvlJc w:val="left"/>
      <w:pPr>
        <w:ind w:left="3303" w:hanging="681"/>
      </w:pPr>
      <w:rPr>
        <w:rFonts w:hint="default"/>
        <w:lang w:val="en-US" w:eastAsia="en-US" w:bidi="ar-SA"/>
      </w:rPr>
    </w:lvl>
    <w:lvl w:ilvl="5">
      <w:numFmt w:val="bullet"/>
      <w:lvlText w:val="•"/>
      <w:lvlJc w:val="left"/>
      <w:pPr>
        <w:ind w:left="3929" w:hanging="681"/>
      </w:pPr>
      <w:rPr>
        <w:rFonts w:hint="default"/>
        <w:lang w:val="en-US" w:eastAsia="en-US" w:bidi="ar-SA"/>
      </w:rPr>
    </w:lvl>
    <w:lvl w:ilvl="6">
      <w:numFmt w:val="bullet"/>
      <w:lvlText w:val="•"/>
      <w:lvlJc w:val="left"/>
      <w:pPr>
        <w:ind w:left="4555" w:hanging="681"/>
      </w:pPr>
      <w:rPr>
        <w:rFonts w:hint="default"/>
        <w:lang w:val="en-US" w:eastAsia="en-US" w:bidi="ar-SA"/>
      </w:rPr>
    </w:lvl>
    <w:lvl w:ilvl="7">
      <w:numFmt w:val="bullet"/>
      <w:lvlText w:val="•"/>
      <w:lvlJc w:val="left"/>
      <w:pPr>
        <w:ind w:left="5181" w:hanging="681"/>
      </w:pPr>
      <w:rPr>
        <w:rFonts w:hint="default"/>
        <w:lang w:val="en-US" w:eastAsia="en-US" w:bidi="ar-SA"/>
      </w:rPr>
    </w:lvl>
    <w:lvl w:ilvl="8">
      <w:numFmt w:val="bullet"/>
      <w:lvlText w:val="•"/>
      <w:lvlJc w:val="left"/>
      <w:pPr>
        <w:ind w:left="5807" w:hanging="681"/>
      </w:pPr>
      <w:rPr>
        <w:rFonts w:hint="default"/>
        <w:lang w:val="en-US" w:eastAsia="en-US" w:bidi="ar-SA"/>
      </w:rPr>
    </w:lvl>
  </w:abstractNum>
  <w:abstractNum w:abstractNumId="8" w15:restartNumberingAfterBreak="0">
    <w:nsid w:val="27B87640"/>
    <w:multiLevelType w:val="multilevel"/>
    <w:tmpl w:val="61427F28"/>
    <w:lvl w:ilvl="0">
      <w:start w:val="4"/>
      <w:numFmt w:val="decimal"/>
      <w:lvlText w:val="%1"/>
      <w:lvlJc w:val="left"/>
      <w:pPr>
        <w:ind w:left="624" w:hanging="511"/>
      </w:pPr>
      <w:rPr>
        <w:rFonts w:hint="default"/>
        <w:lang w:val="en-US" w:eastAsia="en-US" w:bidi="ar-SA"/>
      </w:rPr>
    </w:lvl>
    <w:lvl w:ilvl="1">
      <w:start w:val="1"/>
      <w:numFmt w:val="decimal"/>
      <w:lvlText w:val="%1.%2"/>
      <w:lvlJc w:val="left"/>
      <w:pPr>
        <w:ind w:left="624" w:hanging="511"/>
      </w:pPr>
      <w:rPr>
        <w:rFonts w:ascii="Calibri" w:eastAsia="Calibri" w:hAnsi="Calibri" w:cs="Calibri" w:hint="default"/>
        <w:b/>
        <w:bCs/>
        <w:i w:val="0"/>
        <w:iCs w:val="0"/>
        <w:color w:val="231F20"/>
        <w:spacing w:val="-9"/>
        <w:w w:val="76"/>
        <w:sz w:val="24"/>
        <w:szCs w:val="24"/>
        <w:lang w:val="en-US" w:eastAsia="en-US" w:bidi="ar-SA"/>
      </w:rPr>
    </w:lvl>
    <w:lvl w:ilvl="2">
      <w:start w:val="1"/>
      <w:numFmt w:val="decimal"/>
      <w:lvlText w:val="%1.%2.%3"/>
      <w:lvlJc w:val="left"/>
      <w:pPr>
        <w:ind w:left="795" w:hanging="681"/>
      </w:pPr>
      <w:rPr>
        <w:rFonts w:ascii="Calibri" w:eastAsia="Calibri" w:hAnsi="Calibri" w:cs="Calibri" w:hint="default"/>
        <w:b w:val="0"/>
        <w:bCs w:val="0"/>
        <w:i w:val="0"/>
        <w:iCs w:val="0"/>
        <w:color w:val="231F20"/>
        <w:spacing w:val="-9"/>
        <w:w w:val="64"/>
        <w:sz w:val="24"/>
        <w:szCs w:val="24"/>
        <w:lang w:val="en-US" w:eastAsia="en-US" w:bidi="ar-SA"/>
      </w:rPr>
    </w:lvl>
    <w:lvl w:ilvl="3">
      <w:numFmt w:val="bullet"/>
      <w:lvlText w:val="•"/>
      <w:lvlJc w:val="left"/>
      <w:pPr>
        <w:ind w:left="580" w:hanging="681"/>
      </w:pPr>
      <w:rPr>
        <w:rFonts w:hint="default"/>
        <w:lang w:val="en-US" w:eastAsia="en-US" w:bidi="ar-SA"/>
      </w:rPr>
    </w:lvl>
    <w:lvl w:ilvl="4">
      <w:numFmt w:val="bullet"/>
      <w:lvlText w:val="•"/>
      <w:lvlJc w:val="left"/>
      <w:pPr>
        <w:ind w:left="471" w:hanging="681"/>
      </w:pPr>
      <w:rPr>
        <w:rFonts w:hint="default"/>
        <w:lang w:val="en-US" w:eastAsia="en-US" w:bidi="ar-SA"/>
      </w:rPr>
    </w:lvl>
    <w:lvl w:ilvl="5">
      <w:numFmt w:val="bullet"/>
      <w:lvlText w:val="•"/>
      <w:lvlJc w:val="left"/>
      <w:pPr>
        <w:ind w:left="361" w:hanging="681"/>
      </w:pPr>
      <w:rPr>
        <w:rFonts w:hint="default"/>
        <w:lang w:val="en-US" w:eastAsia="en-US" w:bidi="ar-SA"/>
      </w:rPr>
    </w:lvl>
    <w:lvl w:ilvl="6">
      <w:numFmt w:val="bullet"/>
      <w:lvlText w:val="•"/>
      <w:lvlJc w:val="left"/>
      <w:pPr>
        <w:ind w:left="252" w:hanging="681"/>
      </w:pPr>
      <w:rPr>
        <w:rFonts w:hint="default"/>
        <w:lang w:val="en-US" w:eastAsia="en-US" w:bidi="ar-SA"/>
      </w:rPr>
    </w:lvl>
    <w:lvl w:ilvl="7">
      <w:numFmt w:val="bullet"/>
      <w:lvlText w:val="•"/>
      <w:lvlJc w:val="left"/>
      <w:pPr>
        <w:ind w:left="142" w:hanging="681"/>
      </w:pPr>
      <w:rPr>
        <w:rFonts w:hint="default"/>
        <w:lang w:val="en-US" w:eastAsia="en-US" w:bidi="ar-SA"/>
      </w:rPr>
    </w:lvl>
    <w:lvl w:ilvl="8">
      <w:numFmt w:val="bullet"/>
      <w:lvlText w:val="•"/>
      <w:lvlJc w:val="left"/>
      <w:pPr>
        <w:ind w:left="33" w:hanging="681"/>
      </w:pPr>
      <w:rPr>
        <w:rFonts w:hint="default"/>
        <w:lang w:val="en-US" w:eastAsia="en-US" w:bidi="ar-SA"/>
      </w:rPr>
    </w:lvl>
  </w:abstractNum>
  <w:abstractNum w:abstractNumId="9" w15:restartNumberingAfterBreak="0">
    <w:nsid w:val="2C370700"/>
    <w:multiLevelType w:val="multilevel"/>
    <w:tmpl w:val="73AABD1C"/>
    <w:lvl w:ilvl="0">
      <w:start w:val="2"/>
      <w:numFmt w:val="decimal"/>
      <w:lvlText w:val="%1"/>
      <w:lvlJc w:val="left"/>
      <w:pPr>
        <w:ind w:left="480" w:hanging="480"/>
      </w:pPr>
      <w:rPr>
        <w:rFonts w:hint="default"/>
        <w:color w:val="231F20"/>
      </w:rPr>
    </w:lvl>
    <w:lvl w:ilvl="1">
      <w:start w:val="7"/>
      <w:numFmt w:val="decimal"/>
      <w:lvlText w:val="%1.%2"/>
      <w:lvlJc w:val="left"/>
      <w:pPr>
        <w:ind w:left="536" w:hanging="480"/>
      </w:pPr>
      <w:rPr>
        <w:rFonts w:hint="default"/>
        <w:color w:val="231F20"/>
      </w:rPr>
    </w:lvl>
    <w:lvl w:ilvl="2">
      <w:start w:val="1"/>
      <w:numFmt w:val="decimal"/>
      <w:lvlText w:val="%1.%2.%3"/>
      <w:lvlJc w:val="left"/>
      <w:pPr>
        <w:ind w:left="832" w:hanging="720"/>
      </w:pPr>
      <w:rPr>
        <w:rFonts w:hint="default"/>
        <w:color w:val="231F20"/>
      </w:rPr>
    </w:lvl>
    <w:lvl w:ilvl="3">
      <w:start w:val="1"/>
      <w:numFmt w:val="decimal"/>
      <w:lvlText w:val="%1.%2.%3.%4"/>
      <w:lvlJc w:val="left"/>
      <w:pPr>
        <w:ind w:left="888" w:hanging="720"/>
      </w:pPr>
      <w:rPr>
        <w:rFonts w:hint="default"/>
        <w:color w:val="231F20"/>
      </w:rPr>
    </w:lvl>
    <w:lvl w:ilvl="4">
      <w:start w:val="1"/>
      <w:numFmt w:val="decimal"/>
      <w:lvlText w:val="%1.%2.%3.%4.%5"/>
      <w:lvlJc w:val="left"/>
      <w:pPr>
        <w:ind w:left="1304" w:hanging="1080"/>
      </w:pPr>
      <w:rPr>
        <w:rFonts w:hint="default"/>
        <w:color w:val="231F20"/>
      </w:rPr>
    </w:lvl>
    <w:lvl w:ilvl="5">
      <w:start w:val="1"/>
      <w:numFmt w:val="decimal"/>
      <w:lvlText w:val="%1.%2.%3.%4.%5.%6"/>
      <w:lvlJc w:val="left"/>
      <w:pPr>
        <w:ind w:left="1360" w:hanging="1080"/>
      </w:pPr>
      <w:rPr>
        <w:rFonts w:hint="default"/>
        <w:color w:val="231F20"/>
      </w:rPr>
    </w:lvl>
    <w:lvl w:ilvl="6">
      <w:start w:val="1"/>
      <w:numFmt w:val="decimal"/>
      <w:lvlText w:val="%1.%2.%3.%4.%5.%6.%7"/>
      <w:lvlJc w:val="left"/>
      <w:pPr>
        <w:ind w:left="1776" w:hanging="1440"/>
      </w:pPr>
      <w:rPr>
        <w:rFonts w:hint="default"/>
        <w:color w:val="231F20"/>
      </w:rPr>
    </w:lvl>
    <w:lvl w:ilvl="7">
      <w:start w:val="1"/>
      <w:numFmt w:val="decimal"/>
      <w:lvlText w:val="%1.%2.%3.%4.%5.%6.%7.%8"/>
      <w:lvlJc w:val="left"/>
      <w:pPr>
        <w:ind w:left="1832" w:hanging="1440"/>
      </w:pPr>
      <w:rPr>
        <w:rFonts w:hint="default"/>
        <w:color w:val="231F20"/>
      </w:rPr>
    </w:lvl>
    <w:lvl w:ilvl="8">
      <w:start w:val="1"/>
      <w:numFmt w:val="decimal"/>
      <w:lvlText w:val="%1.%2.%3.%4.%5.%6.%7.%8.%9"/>
      <w:lvlJc w:val="left"/>
      <w:pPr>
        <w:ind w:left="2248" w:hanging="1800"/>
      </w:pPr>
      <w:rPr>
        <w:rFonts w:hint="default"/>
        <w:color w:val="231F20"/>
      </w:rPr>
    </w:lvl>
  </w:abstractNum>
  <w:abstractNum w:abstractNumId="10" w15:restartNumberingAfterBreak="0">
    <w:nsid w:val="32337A33"/>
    <w:multiLevelType w:val="multilevel"/>
    <w:tmpl w:val="39D4C17E"/>
    <w:lvl w:ilvl="0">
      <w:start w:val="2"/>
      <w:numFmt w:val="decimal"/>
      <w:lvlText w:val="%1"/>
      <w:lvlJc w:val="left"/>
      <w:pPr>
        <w:ind w:left="624" w:hanging="511"/>
      </w:pPr>
      <w:rPr>
        <w:rFonts w:hint="default"/>
        <w:lang w:val="en-US" w:eastAsia="en-US" w:bidi="ar-SA"/>
      </w:rPr>
    </w:lvl>
    <w:lvl w:ilvl="1">
      <w:start w:val="1"/>
      <w:numFmt w:val="decimal"/>
      <w:lvlText w:val="%1.%2"/>
      <w:lvlJc w:val="left"/>
      <w:pPr>
        <w:ind w:left="624" w:hanging="511"/>
      </w:pPr>
      <w:rPr>
        <w:rFonts w:ascii="Calibri" w:eastAsia="Calibri" w:hAnsi="Calibri" w:cs="Calibri" w:hint="default"/>
        <w:b/>
        <w:bCs/>
        <w:i w:val="0"/>
        <w:iCs w:val="0"/>
        <w:color w:val="231F20"/>
        <w:spacing w:val="-9"/>
        <w:w w:val="76"/>
        <w:sz w:val="24"/>
        <w:szCs w:val="24"/>
        <w:lang w:val="en-US" w:eastAsia="en-US" w:bidi="ar-SA"/>
      </w:rPr>
    </w:lvl>
    <w:lvl w:ilvl="2">
      <w:start w:val="1"/>
      <w:numFmt w:val="decimal"/>
      <w:lvlText w:val="%1.%2.%3"/>
      <w:lvlJc w:val="left"/>
      <w:pPr>
        <w:ind w:left="794" w:hanging="681"/>
      </w:pPr>
      <w:rPr>
        <w:rFonts w:ascii="Calibri" w:eastAsia="Calibri" w:hAnsi="Calibri" w:cs="Calibri" w:hint="default"/>
        <w:b w:val="0"/>
        <w:bCs w:val="0"/>
        <w:i w:val="0"/>
        <w:iCs w:val="0"/>
        <w:color w:val="231F20"/>
        <w:spacing w:val="-9"/>
        <w:w w:val="64"/>
        <w:sz w:val="24"/>
        <w:szCs w:val="24"/>
        <w:lang w:val="en-US" w:eastAsia="en-US" w:bidi="ar-SA"/>
      </w:rPr>
    </w:lvl>
    <w:lvl w:ilvl="3">
      <w:numFmt w:val="bullet"/>
      <w:lvlText w:val="•"/>
      <w:lvlJc w:val="left"/>
      <w:pPr>
        <w:ind w:left="568" w:hanging="681"/>
      </w:pPr>
      <w:rPr>
        <w:rFonts w:hint="default"/>
        <w:lang w:val="en-US" w:eastAsia="en-US" w:bidi="ar-SA"/>
      </w:rPr>
    </w:lvl>
    <w:lvl w:ilvl="4">
      <w:numFmt w:val="bullet"/>
      <w:lvlText w:val="•"/>
      <w:lvlJc w:val="left"/>
      <w:pPr>
        <w:ind w:left="453" w:hanging="681"/>
      </w:pPr>
      <w:rPr>
        <w:rFonts w:hint="default"/>
        <w:lang w:val="en-US" w:eastAsia="en-US" w:bidi="ar-SA"/>
      </w:rPr>
    </w:lvl>
    <w:lvl w:ilvl="5">
      <w:numFmt w:val="bullet"/>
      <w:lvlText w:val="•"/>
      <w:lvlJc w:val="left"/>
      <w:pPr>
        <w:ind w:left="337" w:hanging="681"/>
      </w:pPr>
      <w:rPr>
        <w:rFonts w:hint="default"/>
        <w:lang w:val="en-US" w:eastAsia="en-US" w:bidi="ar-SA"/>
      </w:rPr>
    </w:lvl>
    <w:lvl w:ilvl="6">
      <w:numFmt w:val="bullet"/>
      <w:lvlText w:val="•"/>
      <w:lvlJc w:val="left"/>
      <w:pPr>
        <w:ind w:left="222" w:hanging="681"/>
      </w:pPr>
      <w:rPr>
        <w:rFonts w:hint="default"/>
        <w:lang w:val="en-US" w:eastAsia="en-US" w:bidi="ar-SA"/>
      </w:rPr>
    </w:lvl>
    <w:lvl w:ilvl="7">
      <w:numFmt w:val="bullet"/>
      <w:lvlText w:val="•"/>
      <w:lvlJc w:val="left"/>
      <w:pPr>
        <w:ind w:left="106" w:hanging="681"/>
      </w:pPr>
      <w:rPr>
        <w:rFonts w:hint="default"/>
        <w:lang w:val="en-US" w:eastAsia="en-US" w:bidi="ar-SA"/>
      </w:rPr>
    </w:lvl>
    <w:lvl w:ilvl="8">
      <w:numFmt w:val="bullet"/>
      <w:lvlText w:val="•"/>
      <w:lvlJc w:val="left"/>
      <w:pPr>
        <w:ind w:left="-9" w:hanging="681"/>
      </w:pPr>
      <w:rPr>
        <w:rFonts w:hint="default"/>
        <w:lang w:val="en-US" w:eastAsia="en-US" w:bidi="ar-SA"/>
      </w:rPr>
    </w:lvl>
  </w:abstractNum>
  <w:abstractNum w:abstractNumId="11" w15:restartNumberingAfterBreak="0">
    <w:nsid w:val="333D7641"/>
    <w:multiLevelType w:val="multilevel"/>
    <w:tmpl w:val="9E6C3E66"/>
    <w:lvl w:ilvl="0">
      <w:start w:val="2"/>
      <w:numFmt w:val="decimal"/>
      <w:lvlText w:val="%1"/>
      <w:lvlJc w:val="left"/>
      <w:pPr>
        <w:ind w:left="794" w:hanging="681"/>
      </w:pPr>
      <w:rPr>
        <w:rFonts w:hint="default"/>
        <w:lang w:val="en-US" w:eastAsia="en-US" w:bidi="ar-SA"/>
      </w:rPr>
    </w:lvl>
    <w:lvl w:ilvl="1">
      <w:start w:val="5"/>
      <w:numFmt w:val="decimal"/>
      <w:lvlText w:val="%1.%2"/>
      <w:lvlJc w:val="left"/>
      <w:pPr>
        <w:ind w:left="794" w:hanging="681"/>
      </w:pPr>
      <w:rPr>
        <w:rFonts w:hint="default"/>
        <w:lang w:val="en-US" w:eastAsia="en-US" w:bidi="ar-SA"/>
      </w:rPr>
    </w:lvl>
    <w:lvl w:ilvl="2">
      <w:start w:val="1"/>
      <w:numFmt w:val="decimal"/>
      <w:lvlText w:val="%1.%2.%3"/>
      <w:lvlJc w:val="left"/>
      <w:pPr>
        <w:ind w:left="794" w:hanging="681"/>
      </w:pPr>
      <w:rPr>
        <w:rFonts w:ascii="Calibri" w:eastAsia="Calibri" w:hAnsi="Calibri" w:cs="Calibri" w:hint="default"/>
        <w:b w:val="0"/>
        <w:bCs w:val="0"/>
        <w:i w:val="0"/>
        <w:iCs w:val="0"/>
        <w:color w:val="231F20"/>
        <w:spacing w:val="-9"/>
        <w:w w:val="64"/>
        <w:sz w:val="24"/>
        <w:szCs w:val="24"/>
        <w:lang w:val="en-US" w:eastAsia="en-US" w:bidi="ar-SA"/>
      </w:rPr>
    </w:lvl>
    <w:lvl w:ilvl="3">
      <w:numFmt w:val="bullet"/>
      <w:lvlText w:val="•"/>
      <w:lvlJc w:val="left"/>
      <w:pPr>
        <w:ind w:left="2613" w:hanging="681"/>
      </w:pPr>
      <w:rPr>
        <w:rFonts w:hint="default"/>
        <w:lang w:val="en-US" w:eastAsia="en-US" w:bidi="ar-SA"/>
      </w:rPr>
    </w:lvl>
    <w:lvl w:ilvl="4">
      <w:numFmt w:val="bullet"/>
      <w:lvlText w:val="•"/>
      <w:lvlJc w:val="left"/>
      <w:pPr>
        <w:ind w:left="3217" w:hanging="681"/>
      </w:pPr>
      <w:rPr>
        <w:rFonts w:hint="default"/>
        <w:lang w:val="en-US" w:eastAsia="en-US" w:bidi="ar-SA"/>
      </w:rPr>
    </w:lvl>
    <w:lvl w:ilvl="5">
      <w:numFmt w:val="bullet"/>
      <w:lvlText w:val="•"/>
      <w:lvlJc w:val="left"/>
      <w:pPr>
        <w:ind w:left="3822" w:hanging="681"/>
      </w:pPr>
      <w:rPr>
        <w:rFonts w:hint="default"/>
        <w:lang w:val="en-US" w:eastAsia="en-US" w:bidi="ar-SA"/>
      </w:rPr>
    </w:lvl>
    <w:lvl w:ilvl="6">
      <w:numFmt w:val="bullet"/>
      <w:lvlText w:val="•"/>
      <w:lvlJc w:val="left"/>
      <w:pPr>
        <w:ind w:left="4426" w:hanging="681"/>
      </w:pPr>
      <w:rPr>
        <w:rFonts w:hint="default"/>
        <w:lang w:val="en-US" w:eastAsia="en-US" w:bidi="ar-SA"/>
      </w:rPr>
    </w:lvl>
    <w:lvl w:ilvl="7">
      <w:numFmt w:val="bullet"/>
      <w:lvlText w:val="•"/>
      <w:lvlJc w:val="left"/>
      <w:pPr>
        <w:ind w:left="5031" w:hanging="681"/>
      </w:pPr>
      <w:rPr>
        <w:rFonts w:hint="default"/>
        <w:lang w:val="en-US" w:eastAsia="en-US" w:bidi="ar-SA"/>
      </w:rPr>
    </w:lvl>
    <w:lvl w:ilvl="8">
      <w:numFmt w:val="bullet"/>
      <w:lvlText w:val="•"/>
      <w:lvlJc w:val="left"/>
      <w:pPr>
        <w:ind w:left="5635" w:hanging="681"/>
      </w:pPr>
      <w:rPr>
        <w:rFonts w:hint="default"/>
        <w:lang w:val="en-US" w:eastAsia="en-US" w:bidi="ar-SA"/>
      </w:rPr>
    </w:lvl>
  </w:abstractNum>
  <w:abstractNum w:abstractNumId="12" w15:restartNumberingAfterBreak="0">
    <w:nsid w:val="36C849AF"/>
    <w:multiLevelType w:val="multilevel"/>
    <w:tmpl w:val="44A83202"/>
    <w:lvl w:ilvl="0">
      <w:start w:val="1"/>
      <w:numFmt w:val="decimal"/>
      <w:lvlText w:val="%1"/>
      <w:lvlJc w:val="left"/>
      <w:pPr>
        <w:ind w:left="794" w:hanging="681"/>
      </w:pPr>
      <w:rPr>
        <w:rFonts w:hint="default"/>
        <w:lang w:val="en-US" w:eastAsia="en-US" w:bidi="ar-SA"/>
      </w:rPr>
    </w:lvl>
    <w:lvl w:ilvl="1">
      <w:start w:val="5"/>
      <w:numFmt w:val="decimal"/>
      <w:lvlText w:val="%1.%2"/>
      <w:lvlJc w:val="left"/>
      <w:pPr>
        <w:ind w:left="794" w:hanging="681"/>
      </w:pPr>
      <w:rPr>
        <w:rFonts w:hint="default"/>
        <w:lang w:val="en-US" w:eastAsia="en-US" w:bidi="ar-SA"/>
      </w:rPr>
    </w:lvl>
    <w:lvl w:ilvl="2">
      <w:start w:val="1"/>
      <w:numFmt w:val="decimal"/>
      <w:lvlText w:val="%1.%2.%3"/>
      <w:lvlJc w:val="left"/>
      <w:pPr>
        <w:ind w:left="794" w:hanging="681"/>
      </w:pPr>
      <w:rPr>
        <w:rFonts w:ascii="Calibri" w:eastAsia="Calibri" w:hAnsi="Calibri" w:cs="Calibri" w:hint="default"/>
        <w:b w:val="0"/>
        <w:bCs w:val="0"/>
        <w:i w:val="0"/>
        <w:iCs w:val="0"/>
        <w:color w:val="231F20"/>
        <w:spacing w:val="-9"/>
        <w:w w:val="64"/>
        <w:sz w:val="24"/>
        <w:szCs w:val="24"/>
        <w:lang w:val="en-US" w:eastAsia="en-US" w:bidi="ar-SA"/>
      </w:rPr>
    </w:lvl>
    <w:lvl w:ilvl="3">
      <w:numFmt w:val="bullet"/>
      <w:lvlText w:val="•"/>
      <w:lvlJc w:val="left"/>
      <w:pPr>
        <w:ind w:left="2542" w:hanging="681"/>
      </w:pPr>
      <w:rPr>
        <w:rFonts w:hint="default"/>
        <w:lang w:val="en-US" w:eastAsia="en-US" w:bidi="ar-SA"/>
      </w:rPr>
    </w:lvl>
    <w:lvl w:ilvl="4">
      <w:numFmt w:val="bullet"/>
      <w:lvlText w:val="•"/>
      <w:lvlJc w:val="left"/>
      <w:pPr>
        <w:ind w:left="3123" w:hanging="681"/>
      </w:pPr>
      <w:rPr>
        <w:rFonts w:hint="default"/>
        <w:lang w:val="en-US" w:eastAsia="en-US" w:bidi="ar-SA"/>
      </w:rPr>
    </w:lvl>
    <w:lvl w:ilvl="5">
      <w:numFmt w:val="bullet"/>
      <w:lvlText w:val="•"/>
      <w:lvlJc w:val="left"/>
      <w:pPr>
        <w:ind w:left="3703" w:hanging="681"/>
      </w:pPr>
      <w:rPr>
        <w:rFonts w:hint="default"/>
        <w:lang w:val="en-US" w:eastAsia="en-US" w:bidi="ar-SA"/>
      </w:rPr>
    </w:lvl>
    <w:lvl w:ilvl="6">
      <w:numFmt w:val="bullet"/>
      <w:lvlText w:val="•"/>
      <w:lvlJc w:val="left"/>
      <w:pPr>
        <w:ind w:left="4284" w:hanging="681"/>
      </w:pPr>
      <w:rPr>
        <w:rFonts w:hint="default"/>
        <w:lang w:val="en-US" w:eastAsia="en-US" w:bidi="ar-SA"/>
      </w:rPr>
    </w:lvl>
    <w:lvl w:ilvl="7">
      <w:numFmt w:val="bullet"/>
      <w:lvlText w:val="•"/>
      <w:lvlJc w:val="left"/>
      <w:pPr>
        <w:ind w:left="4865" w:hanging="681"/>
      </w:pPr>
      <w:rPr>
        <w:rFonts w:hint="default"/>
        <w:lang w:val="en-US" w:eastAsia="en-US" w:bidi="ar-SA"/>
      </w:rPr>
    </w:lvl>
    <w:lvl w:ilvl="8">
      <w:numFmt w:val="bullet"/>
      <w:lvlText w:val="•"/>
      <w:lvlJc w:val="left"/>
      <w:pPr>
        <w:ind w:left="5446" w:hanging="681"/>
      </w:pPr>
      <w:rPr>
        <w:rFonts w:hint="default"/>
        <w:lang w:val="en-US" w:eastAsia="en-US" w:bidi="ar-SA"/>
      </w:rPr>
    </w:lvl>
  </w:abstractNum>
  <w:abstractNum w:abstractNumId="13" w15:restartNumberingAfterBreak="0">
    <w:nsid w:val="3ABF03FB"/>
    <w:multiLevelType w:val="multilevel"/>
    <w:tmpl w:val="EF702388"/>
    <w:lvl w:ilvl="0">
      <w:start w:val="4"/>
      <w:numFmt w:val="decimal"/>
      <w:lvlText w:val="%1"/>
      <w:lvlJc w:val="left"/>
      <w:pPr>
        <w:ind w:left="794" w:hanging="681"/>
        <w:jc w:val="left"/>
      </w:pPr>
      <w:rPr>
        <w:rFonts w:hint="default"/>
        <w:lang w:val="en-US" w:eastAsia="en-US" w:bidi="ar-SA"/>
      </w:rPr>
    </w:lvl>
    <w:lvl w:ilvl="1">
      <w:start w:val="2"/>
      <w:numFmt w:val="decimal"/>
      <w:lvlText w:val="%1.%2"/>
      <w:lvlJc w:val="left"/>
      <w:pPr>
        <w:ind w:left="794" w:hanging="681"/>
        <w:jc w:val="left"/>
      </w:pPr>
      <w:rPr>
        <w:rFonts w:hint="default"/>
        <w:lang w:val="en-US" w:eastAsia="en-US" w:bidi="ar-SA"/>
      </w:rPr>
    </w:lvl>
    <w:lvl w:ilvl="2">
      <w:start w:val="1"/>
      <w:numFmt w:val="decimal"/>
      <w:lvlText w:val="%1.%2.%3"/>
      <w:lvlJc w:val="left"/>
      <w:pPr>
        <w:ind w:left="794" w:hanging="681"/>
        <w:jc w:val="left"/>
      </w:pPr>
      <w:rPr>
        <w:rFonts w:ascii="Calibri" w:eastAsia="Calibri" w:hAnsi="Calibri" w:cs="Calibri" w:hint="default"/>
        <w:b w:val="0"/>
        <w:bCs w:val="0"/>
        <w:i w:val="0"/>
        <w:iCs w:val="0"/>
        <w:color w:val="231F20"/>
        <w:spacing w:val="-9"/>
        <w:w w:val="64"/>
        <w:sz w:val="24"/>
        <w:szCs w:val="24"/>
        <w:lang w:val="en-US" w:eastAsia="en-US" w:bidi="ar-SA"/>
      </w:rPr>
    </w:lvl>
    <w:lvl w:ilvl="3">
      <w:numFmt w:val="bullet"/>
      <w:lvlText w:val="•"/>
      <w:lvlJc w:val="left"/>
      <w:pPr>
        <w:ind w:left="2591" w:hanging="681"/>
      </w:pPr>
      <w:rPr>
        <w:rFonts w:hint="default"/>
        <w:lang w:val="en-US" w:eastAsia="en-US" w:bidi="ar-SA"/>
      </w:rPr>
    </w:lvl>
    <w:lvl w:ilvl="4">
      <w:numFmt w:val="bullet"/>
      <w:lvlText w:val="•"/>
      <w:lvlJc w:val="left"/>
      <w:pPr>
        <w:ind w:left="3188" w:hanging="681"/>
      </w:pPr>
      <w:rPr>
        <w:rFonts w:hint="default"/>
        <w:lang w:val="en-US" w:eastAsia="en-US" w:bidi="ar-SA"/>
      </w:rPr>
    </w:lvl>
    <w:lvl w:ilvl="5">
      <w:numFmt w:val="bullet"/>
      <w:lvlText w:val="•"/>
      <w:lvlJc w:val="left"/>
      <w:pPr>
        <w:ind w:left="3785" w:hanging="681"/>
      </w:pPr>
      <w:rPr>
        <w:rFonts w:hint="default"/>
        <w:lang w:val="en-US" w:eastAsia="en-US" w:bidi="ar-SA"/>
      </w:rPr>
    </w:lvl>
    <w:lvl w:ilvl="6">
      <w:numFmt w:val="bullet"/>
      <w:lvlText w:val="•"/>
      <w:lvlJc w:val="left"/>
      <w:pPr>
        <w:ind w:left="4382" w:hanging="681"/>
      </w:pPr>
      <w:rPr>
        <w:rFonts w:hint="default"/>
        <w:lang w:val="en-US" w:eastAsia="en-US" w:bidi="ar-SA"/>
      </w:rPr>
    </w:lvl>
    <w:lvl w:ilvl="7">
      <w:numFmt w:val="bullet"/>
      <w:lvlText w:val="•"/>
      <w:lvlJc w:val="left"/>
      <w:pPr>
        <w:ind w:left="4979" w:hanging="681"/>
      </w:pPr>
      <w:rPr>
        <w:rFonts w:hint="default"/>
        <w:lang w:val="en-US" w:eastAsia="en-US" w:bidi="ar-SA"/>
      </w:rPr>
    </w:lvl>
    <w:lvl w:ilvl="8">
      <w:numFmt w:val="bullet"/>
      <w:lvlText w:val="•"/>
      <w:lvlJc w:val="left"/>
      <w:pPr>
        <w:ind w:left="5576" w:hanging="681"/>
      </w:pPr>
      <w:rPr>
        <w:rFonts w:hint="default"/>
        <w:lang w:val="en-US" w:eastAsia="en-US" w:bidi="ar-SA"/>
      </w:rPr>
    </w:lvl>
  </w:abstractNum>
  <w:abstractNum w:abstractNumId="14" w15:restartNumberingAfterBreak="0">
    <w:nsid w:val="3B281C9E"/>
    <w:multiLevelType w:val="multilevel"/>
    <w:tmpl w:val="3B78EC24"/>
    <w:lvl w:ilvl="0">
      <w:start w:val="2"/>
      <w:numFmt w:val="decimal"/>
      <w:lvlText w:val="%1"/>
      <w:lvlJc w:val="left"/>
      <w:pPr>
        <w:ind w:left="480" w:hanging="480"/>
      </w:pPr>
      <w:rPr>
        <w:rFonts w:hint="default"/>
        <w:color w:val="231F20"/>
      </w:rPr>
    </w:lvl>
    <w:lvl w:ilvl="1">
      <w:start w:val="3"/>
      <w:numFmt w:val="decimal"/>
      <w:lvlText w:val="%1.%2"/>
      <w:lvlJc w:val="left"/>
      <w:pPr>
        <w:ind w:left="536" w:hanging="480"/>
      </w:pPr>
      <w:rPr>
        <w:rFonts w:hint="default"/>
        <w:b/>
        <w:color w:val="231F20"/>
      </w:rPr>
    </w:lvl>
    <w:lvl w:ilvl="2">
      <w:start w:val="2"/>
      <w:numFmt w:val="decimal"/>
      <w:lvlText w:val="%1.%2.%3"/>
      <w:lvlJc w:val="left"/>
      <w:pPr>
        <w:ind w:left="832" w:hanging="720"/>
      </w:pPr>
      <w:rPr>
        <w:rFonts w:hint="default"/>
        <w:color w:val="231F20"/>
      </w:rPr>
    </w:lvl>
    <w:lvl w:ilvl="3">
      <w:start w:val="1"/>
      <w:numFmt w:val="decimal"/>
      <w:lvlText w:val="%1.%2.%3.%4"/>
      <w:lvlJc w:val="left"/>
      <w:pPr>
        <w:ind w:left="888" w:hanging="720"/>
      </w:pPr>
      <w:rPr>
        <w:rFonts w:hint="default"/>
        <w:color w:val="231F20"/>
      </w:rPr>
    </w:lvl>
    <w:lvl w:ilvl="4">
      <w:start w:val="1"/>
      <w:numFmt w:val="decimal"/>
      <w:lvlText w:val="%1.%2.%3.%4.%5"/>
      <w:lvlJc w:val="left"/>
      <w:pPr>
        <w:ind w:left="1304" w:hanging="1080"/>
      </w:pPr>
      <w:rPr>
        <w:rFonts w:hint="default"/>
        <w:color w:val="231F20"/>
      </w:rPr>
    </w:lvl>
    <w:lvl w:ilvl="5">
      <w:start w:val="1"/>
      <w:numFmt w:val="decimal"/>
      <w:lvlText w:val="%1.%2.%3.%4.%5.%6"/>
      <w:lvlJc w:val="left"/>
      <w:pPr>
        <w:ind w:left="1360" w:hanging="1080"/>
      </w:pPr>
      <w:rPr>
        <w:rFonts w:hint="default"/>
        <w:color w:val="231F20"/>
      </w:rPr>
    </w:lvl>
    <w:lvl w:ilvl="6">
      <w:start w:val="1"/>
      <w:numFmt w:val="decimal"/>
      <w:lvlText w:val="%1.%2.%3.%4.%5.%6.%7"/>
      <w:lvlJc w:val="left"/>
      <w:pPr>
        <w:ind w:left="1776" w:hanging="1440"/>
      </w:pPr>
      <w:rPr>
        <w:rFonts w:hint="default"/>
        <w:color w:val="231F20"/>
      </w:rPr>
    </w:lvl>
    <w:lvl w:ilvl="7">
      <w:start w:val="1"/>
      <w:numFmt w:val="decimal"/>
      <w:lvlText w:val="%1.%2.%3.%4.%5.%6.%7.%8"/>
      <w:lvlJc w:val="left"/>
      <w:pPr>
        <w:ind w:left="1832" w:hanging="1440"/>
      </w:pPr>
      <w:rPr>
        <w:rFonts w:hint="default"/>
        <w:color w:val="231F20"/>
      </w:rPr>
    </w:lvl>
    <w:lvl w:ilvl="8">
      <w:start w:val="1"/>
      <w:numFmt w:val="decimal"/>
      <w:lvlText w:val="%1.%2.%3.%4.%5.%6.%7.%8.%9"/>
      <w:lvlJc w:val="left"/>
      <w:pPr>
        <w:ind w:left="2248" w:hanging="1800"/>
      </w:pPr>
      <w:rPr>
        <w:rFonts w:hint="default"/>
        <w:color w:val="231F20"/>
      </w:rPr>
    </w:lvl>
  </w:abstractNum>
  <w:abstractNum w:abstractNumId="15" w15:restartNumberingAfterBreak="0">
    <w:nsid w:val="3E045D7A"/>
    <w:multiLevelType w:val="multilevel"/>
    <w:tmpl w:val="701A101C"/>
    <w:lvl w:ilvl="0">
      <w:start w:val="2"/>
      <w:numFmt w:val="decimal"/>
      <w:lvlText w:val="%1"/>
      <w:lvlJc w:val="left"/>
      <w:pPr>
        <w:ind w:left="794" w:hanging="681"/>
      </w:pPr>
      <w:rPr>
        <w:rFonts w:hint="default"/>
        <w:lang w:val="en-US" w:eastAsia="en-US" w:bidi="ar-SA"/>
      </w:rPr>
    </w:lvl>
    <w:lvl w:ilvl="1">
      <w:start w:val="6"/>
      <w:numFmt w:val="decimal"/>
      <w:lvlText w:val="%1.%2"/>
      <w:lvlJc w:val="left"/>
      <w:pPr>
        <w:ind w:left="794" w:hanging="681"/>
      </w:pPr>
      <w:rPr>
        <w:rFonts w:hint="default"/>
        <w:lang w:val="en-US" w:eastAsia="en-US" w:bidi="ar-SA"/>
      </w:rPr>
    </w:lvl>
    <w:lvl w:ilvl="2">
      <w:start w:val="1"/>
      <w:numFmt w:val="decimal"/>
      <w:lvlText w:val="%1.%2.%3"/>
      <w:lvlJc w:val="left"/>
      <w:pPr>
        <w:ind w:left="794" w:hanging="681"/>
      </w:pPr>
      <w:rPr>
        <w:rFonts w:ascii="Calibri" w:eastAsia="Calibri" w:hAnsi="Calibri" w:cs="Calibri" w:hint="default"/>
        <w:b w:val="0"/>
        <w:bCs w:val="0"/>
        <w:i w:val="0"/>
        <w:iCs w:val="0"/>
        <w:color w:val="231F20"/>
        <w:spacing w:val="-9"/>
        <w:w w:val="64"/>
        <w:sz w:val="24"/>
        <w:szCs w:val="24"/>
        <w:lang w:val="en-US" w:eastAsia="en-US" w:bidi="ar-SA"/>
      </w:rPr>
    </w:lvl>
    <w:lvl w:ilvl="3">
      <w:numFmt w:val="bullet"/>
      <w:lvlText w:val="•"/>
      <w:lvlJc w:val="left"/>
      <w:pPr>
        <w:ind w:left="2613" w:hanging="681"/>
      </w:pPr>
      <w:rPr>
        <w:rFonts w:hint="default"/>
        <w:lang w:val="en-US" w:eastAsia="en-US" w:bidi="ar-SA"/>
      </w:rPr>
    </w:lvl>
    <w:lvl w:ilvl="4">
      <w:numFmt w:val="bullet"/>
      <w:lvlText w:val="•"/>
      <w:lvlJc w:val="left"/>
      <w:pPr>
        <w:ind w:left="3217" w:hanging="681"/>
      </w:pPr>
      <w:rPr>
        <w:rFonts w:hint="default"/>
        <w:lang w:val="en-US" w:eastAsia="en-US" w:bidi="ar-SA"/>
      </w:rPr>
    </w:lvl>
    <w:lvl w:ilvl="5">
      <w:numFmt w:val="bullet"/>
      <w:lvlText w:val="•"/>
      <w:lvlJc w:val="left"/>
      <w:pPr>
        <w:ind w:left="3822" w:hanging="681"/>
      </w:pPr>
      <w:rPr>
        <w:rFonts w:hint="default"/>
        <w:lang w:val="en-US" w:eastAsia="en-US" w:bidi="ar-SA"/>
      </w:rPr>
    </w:lvl>
    <w:lvl w:ilvl="6">
      <w:numFmt w:val="bullet"/>
      <w:lvlText w:val="•"/>
      <w:lvlJc w:val="left"/>
      <w:pPr>
        <w:ind w:left="4426" w:hanging="681"/>
      </w:pPr>
      <w:rPr>
        <w:rFonts w:hint="default"/>
        <w:lang w:val="en-US" w:eastAsia="en-US" w:bidi="ar-SA"/>
      </w:rPr>
    </w:lvl>
    <w:lvl w:ilvl="7">
      <w:numFmt w:val="bullet"/>
      <w:lvlText w:val="•"/>
      <w:lvlJc w:val="left"/>
      <w:pPr>
        <w:ind w:left="5031" w:hanging="681"/>
      </w:pPr>
      <w:rPr>
        <w:rFonts w:hint="default"/>
        <w:lang w:val="en-US" w:eastAsia="en-US" w:bidi="ar-SA"/>
      </w:rPr>
    </w:lvl>
    <w:lvl w:ilvl="8">
      <w:numFmt w:val="bullet"/>
      <w:lvlText w:val="•"/>
      <w:lvlJc w:val="left"/>
      <w:pPr>
        <w:ind w:left="5635" w:hanging="681"/>
      </w:pPr>
      <w:rPr>
        <w:rFonts w:hint="default"/>
        <w:lang w:val="en-US" w:eastAsia="en-US" w:bidi="ar-SA"/>
      </w:rPr>
    </w:lvl>
  </w:abstractNum>
  <w:abstractNum w:abstractNumId="16" w15:restartNumberingAfterBreak="0">
    <w:nsid w:val="40EE3E36"/>
    <w:multiLevelType w:val="hybridMultilevel"/>
    <w:tmpl w:val="D2E425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34977F3"/>
    <w:multiLevelType w:val="hybridMultilevel"/>
    <w:tmpl w:val="E530E3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3986CBB"/>
    <w:multiLevelType w:val="multilevel"/>
    <w:tmpl w:val="93B27CF8"/>
    <w:lvl w:ilvl="0">
      <w:start w:val="2"/>
      <w:numFmt w:val="decimal"/>
      <w:lvlText w:val="%1"/>
      <w:lvlJc w:val="left"/>
      <w:pPr>
        <w:ind w:left="794" w:hanging="681"/>
      </w:pPr>
      <w:rPr>
        <w:rFonts w:hint="default"/>
        <w:lang w:val="en-US" w:eastAsia="en-US" w:bidi="ar-SA"/>
      </w:rPr>
    </w:lvl>
    <w:lvl w:ilvl="1">
      <w:start w:val="2"/>
      <w:numFmt w:val="decimal"/>
      <w:lvlText w:val="%1.%2"/>
      <w:lvlJc w:val="left"/>
      <w:pPr>
        <w:ind w:left="794" w:hanging="681"/>
      </w:pPr>
      <w:rPr>
        <w:rFonts w:hint="default"/>
        <w:lang w:val="en-US" w:eastAsia="en-US" w:bidi="ar-SA"/>
      </w:rPr>
    </w:lvl>
    <w:lvl w:ilvl="2">
      <w:start w:val="1"/>
      <w:numFmt w:val="decimal"/>
      <w:lvlText w:val="%1.%2.%3"/>
      <w:lvlJc w:val="left"/>
      <w:pPr>
        <w:ind w:left="794" w:hanging="681"/>
      </w:pPr>
      <w:rPr>
        <w:rFonts w:ascii="Calibri" w:eastAsia="Calibri" w:hAnsi="Calibri" w:cs="Calibri" w:hint="default"/>
        <w:b w:val="0"/>
        <w:bCs w:val="0"/>
        <w:i w:val="0"/>
        <w:iCs w:val="0"/>
        <w:color w:val="231F20"/>
        <w:spacing w:val="-9"/>
        <w:w w:val="64"/>
        <w:sz w:val="24"/>
        <w:szCs w:val="24"/>
        <w:lang w:val="en-US" w:eastAsia="en-US" w:bidi="ar-SA"/>
      </w:rPr>
    </w:lvl>
    <w:lvl w:ilvl="3">
      <w:numFmt w:val="bullet"/>
      <w:lvlText w:val="•"/>
      <w:lvlJc w:val="left"/>
      <w:pPr>
        <w:ind w:left="2561" w:hanging="681"/>
      </w:pPr>
      <w:rPr>
        <w:rFonts w:hint="default"/>
        <w:lang w:val="en-US" w:eastAsia="en-US" w:bidi="ar-SA"/>
      </w:rPr>
    </w:lvl>
    <w:lvl w:ilvl="4">
      <w:numFmt w:val="bullet"/>
      <w:lvlText w:val="•"/>
      <w:lvlJc w:val="left"/>
      <w:pPr>
        <w:ind w:left="3148" w:hanging="681"/>
      </w:pPr>
      <w:rPr>
        <w:rFonts w:hint="default"/>
        <w:lang w:val="en-US" w:eastAsia="en-US" w:bidi="ar-SA"/>
      </w:rPr>
    </w:lvl>
    <w:lvl w:ilvl="5">
      <w:numFmt w:val="bullet"/>
      <w:lvlText w:val="•"/>
      <w:lvlJc w:val="left"/>
      <w:pPr>
        <w:ind w:left="3736" w:hanging="681"/>
      </w:pPr>
      <w:rPr>
        <w:rFonts w:hint="default"/>
        <w:lang w:val="en-US" w:eastAsia="en-US" w:bidi="ar-SA"/>
      </w:rPr>
    </w:lvl>
    <w:lvl w:ilvl="6">
      <w:numFmt w:val="bullet"/>
      <w:lvlText w:val="•"/>
      <w:lvlJc w:val="left"/>
      <w:pPr>
        <w:ind w:left="4323" w:hanging="681"/>
      </w:pPr>
      <w:rPr>
        <w:rFonts w:hint="default"/>
        <w:lang w:val="en-US" w:eastAsia="en-US" w:bidi="ar-SA"/>
      </w:rPr>
    </w:lvl>
    <w:lvl w:ilvl="7">
      <w:numFmt w:val="bullet"/>
      <w:lvlText w:val="•"/>
      <w:lvlJc w:val="left"/>
      <w:pPr>
        <w:ind w:left="4910" w:hanging="681"/>
      </w:pPr>
      <w:rPr>
        <w:rFonts w:hint="default"/>
        <w:lang w:val="en-US" w:eastAsia="en-US" w:bidi="ar-SA"/>
      </w:rPr>
    </w:lvl>
    <w:lvl w:ilvl="8">
      <w:numFmt w:val="bullet"/>
      <w:lvlText w:val="•"/>
      <w:lvlJc w:val="left"/>
      <w:pPr>
        <w:ind w:left="5497" w:hanging="681"/>
      </w:pPr>
      <w:rPr>
        <w:rFonts w:hint="default"/>
        <w:lang w:val="en-US" w:eastAsia="en-US" w:bidi="ar-SA"/>
      </w:rPr>
    </w:lvl>
  </w:abstractNum>
  <w:abstractNum w:abstractNumId="19" w15:restartNumberingAfterBreak="0">
    <w:nsid w:val="446112C8"/>
    <w:multiLevelType w:val="multilevel"/>
    <w:tmpl w:val="D7265BC8"/>
    <w:lvl w:ilvl="0">
      <w:start w:val="1"/>
      <w:numFmt w:val="decimal"/>
      <w:lvlText w:val="%1"/>
      <w:lvlJc w:val="left"/>
      <w:pPr>
        <w:ind w:left="794" w:hanging="681"/>
      </w:pPr>
      <w:rPr>
        <w:rFonts w:hint="default"/>
        <w:lang w:val="en-US" w:eastAsia="en-US" w:bidi="ar-SA"/>
      </w:rPr>
    </w:lvl>
    <w:lvl w:ilvl="1">
      <w:start w:val="6"/>
      <w:numFmt w:val="decimal"/>
      <w:lvlText w:val="%1.%2"/>
      <w:lvlJc w:val="left"/>
      <w:pPr>
        <w:ind w:left="794" w:hanging="681"/>
      </w:pPr>
      <w:rPr>
        <w:rFonts w:hint="default"/>
        <w:lang w:val="en-US" w:eastAsia="en-US" w:bidi="ar-SA"/>
      </w:rPr>
    </w:lvl>
    <w:lvl w:ilvl="2">
      <w:start w:val="1"/>
      <w:numFmt w:val="decimal"/>
      <w:lvlText w:val="%1.%2.%3"/>
      <w:lvlJc w:val="left"/>
      <w:pPr>
        <w:ind w:left="794" w:hanging="681"/>
      </w:pPr>
      <w:rPr>
        <w:rFonts w:ascii="Calibri" w:eastAsia="Calibri" w:hAnsi="Calibri" w:cs="Calibri" w:hint="default"/>
        <w:b w:val="0"/>
        <w:bCs w:val="0"/>
        <w:i w:val="0"/>
        <w:iCs w:val="0"/>
        <w:color w:val="231F20"/>
        <w:spacing w:val="-9"/>
        <w:w w:val="64"/>
        <w:sz w:val="24"/>
        <w:szCs w:val="24"/>
        <w:lang w:val="en-US" w:eastAsia="en-US" w:bidi="ar-SA"/>
      </w:rPr>
    </w:lvl>
    <w:lvl w:ilvl="3">
      <w:numFmt w:val="bullet"/>
      <w:lvlText w:val="•"/>
      <w:lvlJc w:val="left"/>
      <w:pPr>
        <w:ind w:left="2542" w:hanging="681"/>
      </w:pPr>
      <w:rPr>
        <w:rFonts w:hint="default"/>
        <w:lang w:val="en-US" w:eastAsia="en-US" w:bidi="ar-SA"/>
      </w:rPr>
    </w:lvl>
    <w:lvl w:ilvl="4">
      <w:numFmt w:val="bullet"/>
      <w:lvlText w:val="•"/>
      <w:lvlJc w:val="left"/>
      <w:pPr>
        <w:ind w:left="3123" w:hanging="681"/>
      </w:pPr>
      <w:rPr>
        <w:rFonts w:hint="default"/>
        <w:lang w:val="en-US" w:eastAsia="en-US" w:bidi="ar-SA"/>
      </w:rPr>
    </w:lvl>
    <w:lvl w:ilvl="5">
      <w:numFmt w:val="bullet"/>
      <w:lvlText w:val="•"/>
      <w:lvlJc w:val="left"/>
      <w:pPr>
        <w:ind w:left="3703" w:hanging="681"/>
      </w:pPr>
      <w:rPr>
        <w:rFonts w:hint="default"/>
        <w:lang w:val="en-US" w:eastAsia="en-US" w:bidi="ar-SA"/>
      </w:rPr>
    </w:lvl>
    <w:lvl w:ilvl="6">
      <w:numFmt w:val="bullet"/>
      <w:lvlText w:val="•"/>
      <w:lvlJc w:val="left"/>
      <w:pPr>
        <w:ind w:left="4284" w:hanging="681"/>
      </w:pPr>
      <w:rPr>
        <w:rFonts w:hint="default"/>
        <w:lang w:val="en-US" w:eastAsia="en-US" w:bidi="ar-SA"/>
      </w:rPr>
    </w:lvl>
    <w:lvl w:ilvl="7">
      <w:numFmt w:val="bullet"/>
      <w:lvlText w:val="•"/>
      <w:lvlJc w:val="left"/>
      <w:pPr>
        <w:ind w:left="4865" w:hanging="681"/>
      </w:pPr>
      <w:rPr>
        <w:rFonts w:hint="default"/>
        <w:lang w:val="en-US" w:eastAsia="en-US" w:bidi="ar-SA"/>
      </w:rPr>
    </w:lvl>
    <w:lvl w:ilvl="8">
      <w:numFmt w:val="bullet"/>
      <w:lvlText w:val="•"/>
      <w:lvlJc w:val="left"/>
      <w:pPr>
        <w:ind w:left="5446" w:hanging="681"/>
      </w:pPr>
      <w:rPr>
        <w:rFonts w:hint="default"/>
        <w:lang w:val="en-US" w:eastAsia="en-US" w:bidi="ar-SA"/>
      </w:rPr>
    </w:lvl>
  </w:abstractNum>
  <w:abstractNum w:abstractNumId="20" w15:restartNumberingAfterBreak="0">
    <w:nsid w:val="490764E0"/>
    <w:multiLevelType w:val="hybridMultilevel"/>
    <w:tmpl w:val="6F94EE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9BE50C5"/>
    <w:multiLevelType w:val="multilevel"/>
    <w:tmpl w:val="939C4D20"/>
    <w:lvl w:ilvl="0">
      <w:start w:val="1"/>
      <w:numFmt w:val="decimal"/>
      <w:lvlText w:val="%1"/>
      <w:lvlJc w:val="left"/>
      <w:pPr>
        <w:ind w:left="113" w:hanging="133"/>
      </w:pPr>
      <w:rPr>
        <w:rFonts w:ascii="Calibri" w:eastAsia="Calibri" w:hAnsi="Calibri" w:cs="Calibri" w:hint="default"/>
        <w:b w:val="0"/>
        <w:bCs w:val="0"/>
        <w:i w:val="0"/>
        <w:iCs w:val="0"/>
        <w:color w:val="231F20"/>
        <w:w w:val="64"/>
        <w:sz w:val="24"/>
        <w:szCs w:val="24"/>
        <w:lang w:val="en-US" w:eastAsia="en-US" w:bidi="ar-SA"/>
      </w:rPr>
    </w:lvl>
    <w:lvl w:ilvl="1">
      <w:start w:val="1"/>
      <w:numFmt w:val="decimal"/>
      <w:lvlText w:val="%1.%2"/>
      <w:lvlJc w:val="left"/>
      <w:pPr>
        <w:ind w:left="624" w:hanging="511"/>
      </w:pPr>
      <w:rPr>
        <w:rFonts w:ascii="Calibri" w:eastAsia="Calibri" w:hAnsi="Calibri" w:cs="Calibri" w:hint="default"/>
        <w:b/>
        <w:bCs/>
        <w:i w:val="0"/>
        <w:iCs w:val="0"/>
        <w:color w:val="231F20"/>
        <w:spacing w:val="-9"/>
        <w:w w:val="76"/>
        <w:sz w:val="24"/>
        <w:szCs w:val="24"/>
        <w:lang w:val="en-US" w:eastAsia="en-US" w:bidi="ar-SA"/>
      </w:rPr>
    </w:lvl>
    <w:lvl w:ilvl="2">
      <w:start w:val="1"/>
      <w:numFmt w:val="decimal"/>
      <w:lvlText w:val="%1.%2.%3"/>
      <w:lvlJc w:val="left"/>
      <w:pPr>
        <w:ind w:left="795" w:hanging="681"/>
      </w:pPr>
      <w:rPr>
        <w:rFonts w:asciiTheme="minorHAnsi" w:eastAsia="Calibri" w:hAnsiTheme="minorHAnsi" w:cstheme="minorHAnsi" w:hint="default"/>
        <w:b w:val="0"/>
        <w:bCs w:val="0"/>
        <w:i w:val="0"/>
        <w:iCs w:val="0"/>
        <w:color w:val="231F20"/>
        <w:spacing w:val="-9"/>
        <w:w w:val="64"/>
        <w:sz w:val="24"/>
        <w:szCs w:val="24"/>
        <w:lang w:val="en-US" w:eastAsia="en-US" w:bidi="ar-SA"/>
      </w:rPr>
    </w:lvl>
    <w:lvl w:ilvl="3">
      <w:numFmt w:val="bullet"/>
      <w:lvlText w:val="•"/>
      <w:lvlJc w:val="left"/>
      <w:pPr>
        <w:ind w:left="671" w:hanging="681"/>
      </w:pPr>
      <w:rPr>
        <w:rFonts w:hint="default"/>
        <w:lang w:val="en-US" w:eastAsia="en-US" w:bidi="ar-SA"/>
      </w:rPr>
    </w:lvl>
    <w:lvl w:ilvl="4">
      <w:numFmt w:val="bullet"/>
      <w:lvlText w:val="•"/>
      <w:lvlJc w:val="left"/>
      <w:pPr>
        <w:ind w:left="543" w:hanging="681"/>
      </w:pPr>
      <w:rPr>
        <w:rFonts w:hint="default"/>
        <w:lang w:val="en-US" w:eastAsia="en-US" w:bidi="ar-SA"/>
      </w:rPr>
    </w:lvl>
    <w:lvl w:ilvl="5">
      <w:numFmt w:val="bullet"/>
      <w:lvlText w:val="•"/>
      <w:lvlJc w:val="left"/>
      <w:pPr>
        <w:ind w:left="414" w:hanging="681"/>
      </w:pPr>
      <w:rPr>
        <w:rFonts w:hint="default"/>
        <w:lang w:val="en-US" w:eastAsia="en-US" w:bidi="ar-SA"/>
      </w:rPr>
    </w:lvl>
    <w:lvl w:ilvl="6">
      <w:numFmt w:val="bullet"/>
      <w:lvlText w:val="•"/>
      <w:lvlJc w:val="left"/>
      <w:pPr>
        <w:ind w:left="286" w:hanging="681"/>
      </w:pPr>
      <w:rPr>
        <w:rFonts w:hint="default"/>
        <w:lang w:val="en-US" w:eastAsia="en-US" w:bidi="ar-SA"/>
      </w:rPr>
    </w:lvl>
    <w:lvl w:ilvl="7">
      <w:numFmt w:val="bullet"/>
      <w:lvlText w:val="•"/>
      <w:lvlJc w:val="left"/>
      <w:pPr>
        <w:ind w:left="158" w:hanging="681"/>
      </w:pPr>
      <w:rPr>
        <w:rFonts w:hint="default"/>
        <w:lang w:val="en-US" w:eastAsia="en-US" w:bidi="ar-SA"/>
      </w:rPr>
    </w:lvl>
    <w:lvl w:ilvl="8">
      <w:numFmt w:val="bullet"/>
      <w:lvlText w:val="•"/>
      <w:lvlJc w:val="left"/>
      <w:pPr>
        <w:ind w:left="29" w:hanging="681"/>
      </w:pPr>
      <w:rPr>
        <w:rFonts w:hint="default"/>
        <w:lang w:val="en-US" w:eastAsia="en-US" w:bidi="ar-SA"/>
      </w:rPr>
    </w:lvl>
  </w:abstractNum>
  <w:abstractNum w:abstractNumId="22" w15:restartNumberingAfterBreak="0">
    <w:nsid w:val="4C5A7099"/>
    <w:multiLevelType w:val="multilevel"/>
    <w:tmpl w:val="39D4C17E"/>
    <w:lvl w:ilvl="0">
      <w:start w:val="2"/>
      <w:numFmt w:val="decimal"/>
      <w:lvlText w:val="%1"/>
      <w:lvlJc w:val="left"/>
      <w:pPr>
        <w:ind w:left="624" w:hanging="511"/>
      </w:pPr>
      <w:rPr>
        <w:rFonts w:hint="default"/>
        <w:lang w:val="en-US" w:eastAsia="en-US" w:bidi="ar-SA"/>
      </w:rPr>
    </w:lvl>
    <w:lvl w:ilvl="1">
      <w:start w:val="1"/>
      <w:numFmt w:val="decimal"/>
      <w:lvlText w:val="%1.%2"/>
      <w:lvlJc w:val="left"/>
      <w:pPr>
        <w:ind w:left="624" w:hanging="511"/>
      </w:pPr>
      <w:rPr>
        <w:rFonts w:ascii="Calibri" w:eastAsia="Calibri" w:hAnsi="Calibri" w:cs="Calibri" w:hint="default"/>
        <w:b/>
        <w:bCs/>
        <w:i w:val="0"/>
        <w:iCs w:val="0"/>
        <w:color w:val="231F20"/>
        <w:spacing w:val="-9"/>
        <w:w w:val="76"/>
        <w:sz w:val="24"/>
        <w:szCs w:val="24"/>
        <w:lang w:val="en-US" w:eastAsia="en-US" w:bidi="ar-SA"/>
      </w:rPr>
    </w:lvl>
    <w:lvl w:ilvl="2">
      <w:start w:val="1"/>
      <w:numFmt w:val="decimal"/>
      <w:lvlText w:val="%1.%2.%3"/>
      <w:lvlJc w:val="left"/>
      <w:pPr>
        <w:ind w:left="794" w:hanging="681"/>
      </w:pPr>
      <w:rPr>
        <w:rFonts w:ascii="Calibri" w:eastAsia="Calibri" w:hAnsi="Calibri" w:cs="Calibri" w:hint="default"/>
        <w:b w:val="0"/>
        <w:bCs w:val="0"/>
        <w:i w:val="0"/>
        <w:iCs w:val="0"/>
        <w:color w:val="231F20"/>
        <w:spacing w:val="-9"/>
        <w:w w:val="64"/>
        <w:sz w:val="24"/>
        <w:szCs w:val="24"/>
        <w:lang w:val="en-US" w:eastAsia="en-US" w:bidi="ar-SA"/>
      </w:rPr>
    </w:lvl>
    <w:lvl w:ilvl="3">
      <w:numFmt w:val="bullet"/>
      <w:lvlText w:val="•"/>
      <w:lvlJc w:val="left"/>
      <w:pPr>
        <w:ind w:left="568" w:hanging="681"/>
      </w:pPr>
      <w:rPr>
        <w:rFonts w:hint="default"/>
        <w:lang w:val="en-US" w:eastAsia="en-US" w:bidi="ar-SA"/>
      </w:rPr>
    </w:lvl>
    <w:lvl w:ilvl="4">
      <w:numFmt w:val="bullet"/>
      <w:lvlText w:val="•"/>
      <w:lvlJc w:val="left"/>
      <w:pPr>
        <w:ind w:left="453" w:hanging="681"/>
      </w:pPr>
      <w:rPr>
        <w:rFonts w:hint="default"/>
        <w:lang w:val="en-US" w:eastAsia="en-US" w:bidi="ar-SA"/>
      </w:rPr>
    </w:lvl>
    <w:lvl w:ilvl="5">
      <w:numFmt w:val="bullet"/>
      <w:lvlText w:val="•"/>
      <w:lvlJc w:val="left"/>
      <w:pPr>
        <w:ind w:left="337" w:hanging="681"/>
      </w:pPr>
      <w:rPr>
        <w:rFonts w:hint="default"/>
        <w:lang w:val="en-US" w:eastAsia="en-US" w:bidi="ar-SA"/>
      </w:rPr>
    </w:lvl>
    <w:lvl w:ilvl="6">
      <w:numFmt w:val="bullet"/>
      <w:lvlText w:val="•"/>
      <w:lvlJc w:val="left"/>
      <w:pPr>
        <w:ind w:left="222" w:hanging="681"/>
      </w:pPr>
      <w:rPr>
        <w:rFonts w:hint="default"/>
        <w:lang w:val="en-US" w:eastAsia="en-US" w:bidi="ar-SA"/>
      </w:rPr>
    </w:lvl>
    <w:lvl w:ilvl="7">
      <w:numFmt w:val="bullet"/>
      <w:lvlText w:val="•"/>
      <w:lvlJc w:val="left"/>
      <w:pPr>
        <w:ind w:left="106" w:hanging="681"/>
      </w:pPr>
      <w:rPr>
        <w:rFonts w:hint="default"/>
        <w:lang w:val="en-US" w:eastAsia="en-US" w:bidi="ar-SA"/>
      </w:rPr>
    </w:lvl>
    <w:lvl w:ilvl="8">
      <w:numFmt w:val="bullet"/>
      <w:lvlText w:val="•"/>
      <w:lvlJc w:val="left"/>
      <w:pPr>
        <w:ind w:left="-9" w:hanging="681"/>
      </w:pPr>
      <w:rPr>
        <w:rFonts w:hint="default"/>
        <w:lang w:val="en-US" w:eastAsia="en-US" w:bidi="ar-SA"/>
      </w:rPr>
    </w:lvl>
  </w:abstractNum>
  <w:abstractNum w:abstractNumId="23" w15:restartNumberingAfterBreak="0">
    <w:nsid w:val="52194D3C"/>
    <w:multiLevelType w:val="multilevel"/>
    <w:tmpl w:val="550AF54C"/>
    <w:lvl w:ilvl="0">
      <w:start w:val="4"/>
      <w:numFmt w:val="decimal"/>
      <w:lvlText w:val="%1"/>
      <w:lvlJc w:val="left"/>
      <w:pPr>
        <w:ind w:left="794" w:hanging="681"/>
        <w:jc w:val="left"/>
      </w:pPr>
      <w:rPr>
        <w:rFonts w:hint="default"/>
        <w:lang w:val="en-US" w:eastAsia="en-US" w:bidi="ar-SA"/>
      </w:rPr>
    </w:lvl>
    <w:lvl w:ilvl="1">
      <w:start w:val="3"/>
      <w:numFmt w:val="decimal"/>
      <w:lvlText w:val="%1.%2"/>
      <w:lvlJc w:val="left"/>
      <w:pPr>
        <w:ind w:left="794" w:hanging="681"/>
        <w:jc w:val="left"/>
      </w:pPr>
      <w:rPr>
        <w:rFonts w:hint="default"/>
        <w:b/>
        <w:lang w:val="en-US" w:eastAsia="en-US" w:bidi="ar-SA"/>
      </w:rPr>
    </w:lvl>
    <w:lvl w:ilvl="2">
      <w:start w:val="1"/>
      <w:numFmt w:val="decimal"/>
      <w:lvlText w:val="%1.%2.%3"/>
      <w:lvlJc w:val="left"/>
      <w:pPr>
        <w:ind w:left="794" w:hanging="681"/>
        <w:jc w:val="left"/>
      </w:pPr>
      <w:rPr>
        <w:rFonts w:ascii="Calibri" w:eastAsia="Calibri" w:hAnsi="Calibri" w:cs="Calibri" w:hint="default"/>
        <w:b w:val="0"/>
        <w:bCs w:val="0"/>
        <w:i w:val="0"/>
        <w:iCs w:val="0"/>
        <w:color w:val="231F20"/>
        <w:spacing w:val="-9"/>
        <w:w w:val="64"/>
        <w:sz w:val="24"/>
        <w:szCs w:val="24"/>
        <w:lang w:val="en-US" w:eastAsia="en-US" w:bidi="ar-SA"/>
      </w:rPr>
    </w:lvl>
    <w:lvl w:ilvl="3">
      <w:numFmt w:val="bullet"/>
      <w:lvlText w:val="•"/>
      <w:lvlJc w:val="left"/>
      <w:pPr>
        <w:ind w:left="2591" w:hanging="681"/>
      </w:pPr>
      <w:rPr>
        <w:rFonts w:hint="default"/>
        <w:lang w:val="en-US" w:eastAsia="en-US" w:bidi="ar-SA"/>
      </w:rPr>
    </w:lvl>
    <w:lvl w:ilvl="4">
      <w:numFmt w:val="bullet"/>
      <w:lvlText w:val="•"/>
      <w:lvlJc w:val="left"/>
      <w:pPr>
        <w:ind w:left="3188" w:hanging="681"/>
      </w:pPr>
      <w:rPr>
        <w:rFonts w:hint="default"/>
        <w:lang w:val="en-US" w:eastAsia="en-US" w:bidi="ar-SA"/>
      </w:rPr>
    </w:lvl>
    <w:lvl w:ilvl="5">
      <w:numFmt w:val="bullet"/>
      <w:lvlText w:val="•"/>
      <w:lvlJc w:val="left"/>
      <w:pPr>
        <w:ind w:left="3785" w:hanging="681"/>
      </w:pPr>
      <w:rPr>
        <w:rFonts w:hint="default"/>
        <w:lang w:val="en-US" w:eastAsia="en-US" w:bidi="ar-SA"/>
      </w:rPr>
    </w:lvl>
    <w:lvl w:ilvl="6">
      <w:numFmt w:val="bullet"/>
      <w:lvlText w:val="•"/>
      <w:lvlJc w:val="left"/>
      <w:pPr>
        <w:ind w:left="4382" w:hanging="681"/>
      </w:pPr>
      <w:rPr>
        <w:rFonts w:hint="default"/>
        <w:lang w:val="en-US" w:eastAsia="en-US" w:bidi="ar-SA"/>
      </w:rPr>
    </w:lvl>
    <w:lvl w:ilvl="7">
      <w:numFmt w:val="bullet"/>
      <w:lvlText w:val="•"/>
      <w:lvlJc w:val="left"/>
      <w:pPr>
        <w:ind w:left="4979" w:hanging="681"/>
      </w:pPr>
      <w:rPr>
        <w:rFonts w:hint="default"/>
        <w:lang w:val="en-US" w:eastAsia="en-US" w:bidi="ar-SA"/>
      </w:rPr>
    </w:lvl>
    <w:lvl w:ilvl="8">
      <w:numFmt w:val="bullet"/>
      <w:lvlText w:val="•"/>
      <w:lvlJc w:val="left"/>
      <w:pPr>
        <w:ind w:left="5576" w:hanging="681"/>
      </w:pPr>
      <w:rPr>
        <w:rFonts w:hint="default"/>
        <w:lang w:val="en-US" w:eastAsia="en-US" w:bidi="ar-SA"/>
      </w:rPr>
    </w:lvl>
  </w:abstractNum>
  <w:abstractNum w:abstractNumId="24" w15:restartNumberingAfterBreak="0">
    <w:nsid w:val="55E80034"/>
    <w:multiLevelType w:val="multilevel"/>
    <w:tmpl w:val="EF400B2A"/>
    <w:lvl w:ilvl="0">
      <w:start w:val="1"/>
      <w:numFmt w:val="decimal"/>
      <w:lvlText w:val="%1"/>
      <w:lvlJc w:val="left"/>
      <w:pPr>
        <w:ind w:left="794" w:hanging="681"/>
      </w:pPr>
      <w:rPr>
        <w:rFonts w:hint="default"/>
        <w:lang w:val="en-US" w:eastAsia="en-US" w:bidi="ar-SA"/>
      </w:rPr>
    </w:lvl>
    <w:lvl w:ilvl="1">
      <w:start w:val="3"/>
      <w:numFmt w:val="decimal"/>
      <w:lvlText w:val="%1.%2"/>
      <w:lvlJc w:val="left"/>
      <w:pPr>
        <w:ind w:left="794" w:hanging="681"/>
      </w:pPr>
      <w:rPr>
        <w:rFonts w:hint="default"/>
        <w:lang w:val="en-US" w:eastAsia="en-US" w:bidi="ar-SA"/>
      </w:rPr>
    </w:lvl>
    <w:lvl w:ilvl="2">
      <w:start w:val="1"/>
      <w:numFmt w:val="decimal"/>
      <w:lvlText w:val="%1.%2.%3"/>
      <w:lvlJc w:val="left"/>
      <w:pPr>
        <w:ind w:left="794" w:hanging="681"/>
      </w:pPr>
      <w:rPr>
        <w:rFonts w:ascii="Calibri" w:eastAsia="Calibri" w:hAnsi="Calibri" w:cs="Calibri" w:hint="default"/>
        <w:b w:val="0"/>
        <w:bCs w:val="0"/>
        <w:i w:val="0"/>
        <w:iCs w:val="0"/>
        <w:color w:val="231F20"/>
        <w:spacing w:val="-9"/>
        <w:w w:val="64"/>
        <w:sz w:val="24"/>
        <w:szCs w:val="24"/>
        <w:lang w:val="en-US" w:eastAsia="en-US" w:bidi="ar-SA"/>
      </w:rPr>
    </w:lvl>
    <w:lvl w:ilvl="3">
      <w:numFmt w:val="bullet"/>
      <w:lvlText w:val="•"/>
      <w:lvlJc w:val="left"/>
      <w:pPr>
        <w:ind w:left="2677" w:hanging="681"/>
      </w:pPr>
      <w:rPr>
        <w:rFonts w:hint="default"/>
        <w:lang w:val="en-US" w:eastAsia="en-US" w:bidi="ar-SA"/>
      </w:rPr>
    </w:lvl>
    <w:lvl w:ilvl="4">
      <w:numFmt w:val="bullet"/>
      <w:lvlText w:val="•"/>
      <w:lvlJc w:val="left"/>
      <w:pPr>
        <w:ind w:left="3303" w:hanging="681"/>
      </w:pPr>
      <w:rPr>
        <w:rFonts w:hint="default"/>
        <w:lang w:val="en-US" w:eastAsia="en-US" w:bidi="ar-SA"/>
      </w:rPr>
    </w:lvl>
    <w:lvl w:ilvl="5">
      <w:numFmt w:val="bullet"/>
      <w:lvlText w:val="•"/>
      <w:lvlJc w:val="left"/>
      <w:pPr>
        <w:ind w:left="3929" w:hanging="681"/>
      </w:pPr>
      <w:rPr>
        <w:rFonts w:hint="default"/>
        <w:lang w:val="en-US" w:eastAsia="en-US" w:bidi="ar-SA"/>
      </w:rPr>
    </w:lvl>
    <w:lvl w:ilvl="6">
      <w:numFmt w:val="bullet"/>
      <w:lvlText w:val="•"/>
      <w:lvlJc w:val="left"/>
      <w:pPr>
        <w:ind w:left="4555" w:hanging="681"/>
      </w:pPr>
      <w:rPr>
        <w:rFonts w:hint="default"/>
        <w:lang w:val="en-US" w:eastAsia="en-US" w:bidi="ar-SA"/>
      </w:rPr>
    </w:lvl>
    <w:lvl w:ilvl="7">
      <w:numFmt w:val="bullet"/>
      <w:lvlText w:val="•"/>
      <w:lvlJc w:val="left"/>
      <w:pPr>
        <w:ind w:left="5181" w:hanging="681"/>
      </w:pPr>
      <w:rPr>
        <w:rFonts w:hint="default"/>
        <w:lang w:val="en-US" w:eastAsia="en-US" w:bidi="ar-SA"/>
      </w:rPr>
    </w:lvl>
    <w:lvl w:ilvl="8">
      <w:numFmt w:val="bullet"/>
      <w:lvlText w:val="•"/>
      <w:lvlJc w:val="left"/>
      <w:pPr>
        <w:ind w:left="5807" w:hanging="681"/>
      </w:pPr>
      <w:rPr>
        <w:rFonts w:hint="default"/>
        <w:lang w:val="en-US" w:eastAsia="en-US" w:bidi="ar-SA"/>
      </w:rPr>
    </w:lvl>
  </w:abstractNum>
  <w:abstractNum w:abstractNumId="25" w15:restartNumberingAfterBreak="0">
    <w:nsid w:val="56C57D82"/>
    <w:multiLevelType w:val="multilevel"/>
    <w:tmpl w:val="781C49B8"/>
    <w:lvl w:ilvl="0">
      <w:start w:val="1"/>
      <w:numFmt w:val="decimal"/>
      <w:lvlText w:val="%1"/>
      <w:lvlJc w:val="left"/>
      <w:pPr>
        <w:ind w:left="480" w:hanging="480"/>
      </w:pPr>
      <w:rPr>
        <w:rFonts w:hint="default"/>
        <w:color w:val="231F20"/>
      </w:rPr>
    </w:lvl>
    <w:lvl w:ilvl="1">
      <w:start w:val="2"/>
      <w:numFmt w:val="decimal"/>
      <w:lvlText w:val="%1.%2"/>
      <w:lvlJc w:val="left"/>
      <w:pPr>
        <w:ind w:left="480" w:hanging="480"/>
      </w:pPr>
      <w:rPr>
        <w:rFonts w:hint="default"/>
        <w:color w:val="231F20"/>
      </w:rPr>
    </w:lvl>
    <w:lvl w:ilvl="2">
      <w:start w:val="2"/>
      <w:numFmt w:val="decimal"/>
      <w:lvlText w:val="%1.%2.%3"/>
      <w:lvlJc w:val="left"/>
      <w:pPr>
        <w:ind w:left="720" w:hanging="720"/>
      </w:pPr>
      <w:rPr>
        <w:rFonts w:hint="default"/>
        <w:color w:val="231F20"/>
      </w:rPr>
    </w:lvl>
    <w:lvl w:ilvl="3">
      <w:start w:val="1"/>
      <w:numFmt w:val="decimal"/>
      <w:lvlText w:val="%1.%2.%3.%4"/>
      <w:lvlJc w:val="left"/>
      <w:pPr>
        <w:ind w:left="720" w:hanging="720"/>
      </w:pPr>
      <w:rPr>
        <w:rFonts w:hint="default"/>
        <w:color w:val="231F20"/>
      </w:rPr>
    </w:lvl>
    <w:lvl w:ilvl="4">
      <w:start w:val="1"/>
      <w:numFmt w:val="decimal"/>
      <w:lvlText w:val="%1.%2.%3.%4.%5"/>
      <w:lvlJc w:val="left"/>
      <w:pPr>
        <w:ind w:left="1080" w:hanging="1080"/>
      </w:pPr>
      <w:rPr>
        <w:rFonts w:hint="default"/>
        <w:color w:val="231F20"/>
      </w:rPr>
    </w:lvl>
    <w:lvl w:ilvl="5">
      <w:start w:val="1"/>
      <w:numFmt w:val="decimal"/>
      <w:lvlText w:val="%1.%2.%3.%4.%5.%6"/>
      <w:lvlJc w:val="left"/>
      <w:pPr>
        <w:ind w:left="1080" w:hanging="1080"/>
      </w:pPr>
      <w:rPr>
        <w:rFonts w:hint="default"/>
        <w:color w:val="231F20"/>
      </w:rPr>
    </w:lvl>
    <w:lvl w:ilvl="6">
      <w:start w:val="1"/>
      <w:numFmt w:val="decimal"/>
      <w:lvlText w:val="%1.%2.%3.%4.%5.%6.%7"/>
      <w:lvlJc w:val="left"/>
      <w:pPr>
        <w:ind w:left="1440" w:hanging="1440"/>
      </w:pPr>
      <w:rPr>
        <w:rFonts w:hint="default"/>
        <w:color w:val="231F20"/>
      </w:rPr>
    </w:lvl>
    <w:lvl w:ilvl="7">
      <w:start w:val="1"/>
      <w:numFmt w:val="decimal"/>
      <w:lvlText w:val="%1.%2.%3.%4.%5.%6.%7.%8"/>
      <w:lvlJc w:val="left"/>
      <w:pPr>
        <w:ind w:left="1440" w:hanging="1440"/>
      </w:pPr>
      <w:rPr>
        <w:rFonts w:hint="default"/>
        <w:color w:val="231F20"/>
      </w:rPr>
    </w:lvl>
    <w:lvl w:ilvl="8">
      <w:start w:val="1"/>
      <w:numFmt w:val="decimal"/>
      <w:lvlText w:val="%1.%2.%3.%4.%5.%6.%7.%8.%9"/>
      <w:lvlJc w:val="left"/>
      <w:pPr>
        <w:ind w:left="1800" w:hanging="1800"/>
      </w:pPr>
      <w:rPr>
        <w:rFonts w:hint="default"/>
        <w:color w:val="231F20"/>
      </w:rPr>
    </w:lvl>
  </w:abstractNum>
  <w:abstractNum w:abstractNumId="26" w15:restartNumberingAfterBreak="0">
    <w:nsid w:val="5E315184"/>
    <w:multiLevelType w:val="multilevel"/>
    <w:tmpl w:val="3E5E2886"/>
    <w:lvl w:ilvl="0">
      <w:start w:val="4"/>
      <w:numFmt w:val="decimal"/>
      <w:lvlText w:val="%1"/>
      <w:lvlJc w:val="left"/>
      <w:pPr>
        <w:ind w:left="624" w:hanging="511"/>
      </w:pPr>
      <w:rPr>
        <w:rFonts w:hint="default"/>
        <w:lang w:val="en-US" w:eastAsia="en-US" w:bidi="ar-SA"/>
      </w:rPr>
    </w:lvl>
    <w:lvl w:ilvl="1">
      <w:start w:val="1"/>
      <w:numFmt w:val="decimal"/>
      <w:lvlText w:val="%1.%2"/>
      <w:lvlJc w:val="left"/>
      <w:pPr>
        <w:ind w:left="624" w:hanging="511"/>
      </w:pPr>
      <w:rPr>
        <w:rFonts w:ascii="Calibri" w:eastAsia="Calibri" w:hAnsi="Calibri" w:cs="Calibri" w:hint="default"/>
        <w:b/>
        <w:bCs/>
        <w:i w:val="0"/>
        <w:iCs w:val="0"/>
        <w:color w:val="231F20"/>
        <w:spacing w:val="-9"/>
        <w:w w:val="76"/>
        <w:sz w:val="24"/>
        <w:szCs w:val="24"/>
        <w:lang w:val="en-US" w:eastAsia="en-US" w:bidi="ar-SA"/>
      </w:rPr>
    </w:lvl>
    <w:lvl w:ilvl="2">
      <w:start w:val="1"/>
      <w:numFmt w:val="decimal"/>
      <w:lvlText w:val="%1.%2.%3"/>
      <w:lvlJc w:val="left"/>
      <w:pPr>
        <w:ind w:left="795" w:hanging="681"/>
      </w:pPr>
      <w:rPr>
        <w:rFonts w:ascii="Calibri" w:eastAsia="Calibri" w:hAnsi="Calibri" w:cs="Calibri" w:hint="default"/>
        <w:b w:val="0"/>
        <w:bCs w:val="0"/>
        <w:i w:val="0"/>
        <w:iCs w:val="0"/>
        <w:color w:val="231F20"/>
        <w:spacing w:val="-9"/>
        <w:w w:val="64"/>
        <w:sz w:val="24"/>
        <w:szCs w:val="24"/>
        <w:lang w:val="en-US" w:eastAsia="en-US" w:bidi="ar-SA"/>
      </w:rPr>
    </w:lvl>
    <w:lvl w:ilvl="3">
      <w:numFmt w:val="bullet"/>
      <w:lvlText w:val="•"/>
      <w:lvlJc w:val="left"/>
      <w:pPr>
        <w:ind w:left="580" w:hanging="681"/>
      </w:pPr>
      <w:rPr>
        <w:rFonts w:hint="default"/>
        <w:lang w:val="en-US" w:eastAsia="en-US" w:bidi="ar-SA"/>
      </w:rPr>
    </w:lvl>
    <w:lvl w:ilvl="4">
      <w:numFmt w:val="bullet"/>
      <w:lvlText w:val="•"/>
      <w:lvlJc w:val="left"/>
      <w:pPr>
        <w:ind w:left="471" w:hanging="681"/>
      </w:pPr>
      <w:rPr>
        <w:rFonts w:hint="default"/>
        <w:lang w:val="en-US" w:eastAsia="en-US" w:bidi="ar-SA"/>
      </w:rPr>
    </w:lvl>
    <w:lvl w:ilvl="5">
      <w:numFmt w:val="bullet"/>
      <w:lvlText w:val="•"/>
      <w:lvlJc w:val="left"/>
      <w:pPr>
        <w:ind w:left="361" w:hanging="681"/>
      </w:pPr>
      <w:rPr>
        <w:rFonts w:hint="default"/>
        <w:lang w:val="en-US" w:eastAsia="en-US" w:bidi="ar-SA"/>
      </w:rPr>
    </w:lvl>
    <w:lvl w:ilvl="6">
      <w:numFmt w:val="bullet"/>
      <w:lvlText w:val="•"/>
      <w:lvlJc w:val="left"/>
      <w:pPr>
        <w:ind w:left="252" w:hanging="681"/>
      </w:pPr>
      <w:rPr>
        <w:rFonts w:hint="default"/>
        <w:lang w:val="en-US" w:eastAsia="en-US" w:bidi="ar-SA"/>
      </w:rPr>
    </w:lvl>
    <w:lvl w:ilvl="7">
      <w:numFmt w:val="bullet"/>
      <w:lvlText w:val="•"/>
      <w:lvlJc w:val="left"/>
      <w:pPr>
        <w:ind w:left="142" w:hanging="681"/>
      </w:pPr>
      <w:rPr>
        <w:rFonts w:hint="default"/>
        <w:lang w:val="en-US" w:eastAsia="en-US" w:bidi="ar-SA"/>
      </w:rPr>
    </w:lvl>
    <w:lvl w:ilvl="8">
      <w:numFmt w:val="bullet"/>
      <w:lvlText w:val="•"/>
      <w:lvlJc w:val="left"/>
      <w:pPr>
        <w:ind w:left="33" w:hanging="681"/>
      </w:pPr>
      <w:rPr>
        <w:rFonts w:hint="default"/>
        <w:lang w:val="en-US" w:eastAsia="en-US" w:bidi="ar-SA"/>
      </w:rPr>
    </w:lvl>
  </w:abstractNum>
  <w:abstractNum w:abstractNumId="27" w15:restartNumberingAfterBreak="0">
    <w:nsid w:val="663008F1"/>
    <w:multiLevelType w:val="multilevel"/>
    <w:tmpl w:val="61427F28"/>
    <w:lvl w:ilvl="0">
      <w:start w:val="4"/>
      <w:numFmt w:val="decimal"/>
      <w:lvlText w:val="%1"/>
      <w:lvlJc w:val="left"/>
      <w:pPr>
        <w:ind w:left="624" w:hanging="511"/>
      </w:pPr>
      <w:rPr>
        <w:rFonts w:hint="default"/>
        <w:lang w:val="en-US" w:eastAsia="en-US" w:bidi="ar-SA"/>
      </w:rPr>
    </w:lvl>
    <w:lvl w:ilvl="1">
      <w:start w:val="1"/>
      <w:numFmt w:val="decimal"/>
      <w:lvlText w:val="%1.%2"/>
      <w:lvlJc w:val="left"/>
      <w:pPr>
        <w:ind w:left="624" w:hanging="511"/>
      </w:pPr>
      <w:rPr>
        <w:rFonts w:ascii="Calibri" w:eastAsia="Calibri" w:hAnsi="Calibri" w:cs="Calibri" w:hint="default"/>
        <w:b/>
        <w:bCs/>
        <w:i w:val="0"/>
        <w:iCs w:val="0"/>
        <w:color w:val="231F20"/>
        <w:spacing w:val="-9"/>
        <w:w w:val="76"/>
        <w:sz w:val="24"/>
        <w:szCs w:val="24"/>
        <w:lang w:val="en-US" w:eastAsia="en-US" w:bidi="ar-SA"/>
      </w:rPr>
    </w:lvl>
    <w:lvl w:ilvl="2">
      <w:start w:val="1"/>
      <w:numFmt w:val="decimal"/>
      <w:lvlText w:val="%1.%2.%3"/>
      <w:lvlJc w:val="left"/>
      <w:pPr>
        <w:ind w:left="795" w:hanging="681"/>
      </w:pPr>
      <w:rPr>
        <w:rFonts w:ascii="Calibri" w:eastAsia="Calibri" w:hAnsi="Calibri" w:cs="Calibri" w:hint="default"/>
        <w:b w:val="0"/>
        <w:bCs w:val="0"/>
        <w:i w:val="0"/>
        <w:iCs w:val="0"/>
        <w:color w:val="231F20"/>
        <w:spacing w:val="-9"/>
        <w:w w:val="64"/>
        <w:sz w:val="24"/>
        <w:szCs w:val="24"/>
        <w:lang w:val="en-US" w:eastAsia="en-US" w:bidi="ar-SA"/>
      </w:rPr>
    </w:lvl>
    <w:lvl w:ilvl="3">
      <w:numFmt w:val="bullet"/>
      <w:lvlText w:val="•"/>
      <w:lvlJc w:val="left"/>
      <w:pPr>
        <w:ind w:left="580" w:hanging="681"/>
      </w:pPr>
      <w:rPr>
        <w:rFonts w:hint="default"/>
        <w:lang w:val="en-US" w:eastAsia="en-US" w:bidi="ar-SA"/>
      </w:rPr>
    </w:lvl>
    <w:lvl w:ilvl="4">
      <w:numFmt w:val="bullet"/>
      <w:lvlText w:val="•"/>
      <w:lvlJc w:val="left"/>
      <w:pPr>
        <w:ind w:left="471" w:hanging="681"/>
      </w:pPr>
      <w:rPr>
        <w:rFonts w:hint="default"/>
        <w:lang w:val="en-US" w:eastAsia="en-US" w:bidi="ar-SA"/>
      </w:rPr>
    </w:lvl>
    <w:lvl w:ilvl="5">
      <w:numFmt w:val="bullet"/>
      <w:lvlText w:val="•"/>
      <w:lvlJc w:val="left"/>
      <w:pPr>
        <w:ind w:left="361" w:hanging="681"/>
      </w:pPr>
      <w:rPr>
        <w:rFonts w:hint="default"/>
        <w:lang w:val="en-US" w:eastAsia="en-US" w:bidi="ar-SA"/>
      </w:rPr>
    </w:lvl>
    <w:lvl w:ilvl="6">
      <w:numFmt w:val="bullet"/>
      <w:lvlText w:val="•"/>
      <w:lvlJc w:val="left"/>
      <w:pPr>
        <w:ind w:left="252" w:hanging="681"/>
      </w:pPr>
      <w:rPr>
        <w:rFonts w:hint="default"/>
        <w:lang w:val="en-US" w:eastAsia="en-US" w:bidi="ar-SA"/>
      </w:rPr>
    </w:lvl>
    <w:lvl w:ilvl="7">
      <w:numFmt w:val="bullet"/>
      <w:lvlText w:val="•"/>
      <w:lvlJc w:val="left"/>
      <w:pPr>
        <w:ind w:left="142" w:hanging="681"/>
      </w:pPr>
      <w:rPr>
        <w:rFonts w:hint="default"/>
        <w:lang w:val="en-US" w:eastAsia="en-US" w:bidi="ar-SA"/>
      </w:rPr>
    </w:lvl>
    <w:lvl w:ilvl="8">
      <w:numFmt w:val="bullet"/>
      <w:lvlText w:val="•"/>
      <w:lvlJc w:val="left"/>
      <w:pPr>
        <w:ind w:left="33" w:hanging="681"/>
      </w:pPr>
      <w:rPr>
        <w:rFonts w:hint="default"/>
        <w:lang w:val="en-US" w:eastAsia="en-US" w:bidi="ar-SA"/>
      </w:rPr>
    </w:lvl>
  </w:abstractNum>
  <w:abstractNum w:abstractNumId="28" w15:restartNumberingAfterBreak="0">
    <w:nsid w:val="686772E2"/>
    <w:multiLevelType w:val="multilevel"/>
    <w:tmpl w:val="61427F28"/>
    <w:lvl w:ilvl="0">
      <w:start w:val="4"/>
      <w:numFmt w:val="decimal"/>
      <w:lvlText w:val="%1"/>
      <w:lvlJc w:val="left"/>
      <w:pPr>
        <w:ind w:left="624" w:hanging="511"/>
      </w:pPr>
      <w:rPr>
        <w:rFonts w:hint="default"/>
        <w:lang w:val="en-US" w:eastAsia="en-US" w:bidi="ar-SA"/>
      </w:rPr>
    </w:lvl>
    <w:lvl w:ilvl="1">
      <w:start w:val="1"/>
      <w:numFmt w:val="decimal"/>
      <w:lvlText w:val="%1.%2"/>
      <w:lvlJc w:val="left"/>
      <w:pPr>
        <w:ind w:left="624" w:hanging="511"/>
      </w:pPr>
      <w:rPr>
        <w:rFonts w:ascii="Calibri" w:eastAsia="Calibri" w:hAnsi="Calibri" w:cs="Calibri" w:hint="default"/>
        <w:b/>
        <w:bCs/>
        <w:i w:val="0"/>
        <w:iCs w:val="0"/>
        <w:color w:val="231F20"/>
        <w:spacing w:val="-9"/>
        <w:w w:val="76"/>
        <w:sz w:val="24"/>
        <w:szCs w:val="24"/>
        <w:lang w:val="en-US" w:eastAsia="en-US" w:bidi="ar-SA"/>
      </w:rPr>
    </w:lvl>
    <w:lvl w:ilvl="2">
      <w:start w:val="1"/>
      <w:numFmt w:val="decimal"/>
      <w:lvlText w:val="%1.%2.%3"/>
      <w:lvlJc w:val="left"/>
      <w:pPr>
        <w:ind w:left="795" w:hanging="681"/>
      </w:pPr>
      <w:rPr>
        <w:rFonts w:ascii="Calibri" w:eastAsia="Calibri" w:hAnsi="Calibri" w:cs="Calibri" w:hint="default"/>
        <w:b w:val="0"/>
        <w:bCs w:val="0"/>
        <w:i w:val="0"/>
        <w:iCs w:val="0"/>
        <w:color w:val="231F20"/>
        <w:spacing w:val="-9"/>
        <w:w w:val="64"/>
        <w:sz w:val="24"/>
        <w:szCs w:val="24"/>
        <w:lang w:val="en-US" w:eastAsia="en-US" w:bidi="ar-SA"/>
      </w:rPr>
    </w:lvl>
    <w:lvl w:ilvl="3">
      <w:numFmt w:val="bullet"/>
      <w:lvlText w:val="•"/>
      <w:lvlJc w:val="left"/>
      <w:pPr>
        <w:ind w:left="580" w:hanging="681"/>
      </w:pPr>
      <w:rPr>
        <w:rFonts w:hint="default"/>
        <w:lang w:val="en-US" w:eastAsia="en-US" w:bidi="ar-SA"/>
      </w:rPr>
    </w:lvl>
    <w:lvl w:ilvl="4">
      <w:numFmt w:val="bullet"/>
      <w:lvlText w:val="•"/>
      <w:lvlJc w:val="left"/>
      <w:pPr>
        <w:ind w:left="471" w:hanging="681"/>
      </w:pPr>
      <w:rPr>
        <w:rFonts w:hint="default"/>
        <w:lang w:val="en-US" w:eastAsia="en-US" w:bidi="ar-SA"/>
      </w:rPr>
    </w:lvl>
    <w:lvl w:ilvl="5">
      <w:numFmt w:val="bullet"/>
      <w:lvlText w:val="•"/>
      <w:lvlJc w:val="left"/>
      <w:pPr>
        <w:ind w:left="361" w:hanging="681"/>
      </w:pPr>
      <w:rPr>
        <w:rFonts w:hint="default"/>
        <w:lang w:val="en-US" w:eastAsia="en-US" w:bidi="ar-SA"/>
      </w:rPr>
    </w:lvl>
    <w:lvl w:ilvl="6">
      <w:numFmt w:val="bullet"/>
      <w:lvlText w:val="•"/>
      <w:lvlJc w:val="left"/>
      <w:pPr>
        <w:ind w:left="252" w:hanging="681"/>
      </w:pPr>
      <w:rPr>
        <w:rFonts w:hint="default"/>
        <w:lang w:val="en-US" w:eastAsia="en-US" w:bidi="ar-SA"/>
      </w:rPr>
    </w:lvl>
    <w:lvl w:ilvl="7">
      <w:numFmt w:val="bullet"/>
      <w:lvlText w:val="•"/>
      <w:lvlJc w:val="left"/>
      <w:pPr>
        <w:ind w:left="142" w:hanging="681"/>
      </w:pPr>
      <w:rPr>
        <w:rFonts w:hint="default"/>
        <w:lang w:val="en-US" w:eastAsia="en-US" w:bidi="ar-SA"/>
      </w:rPr>
    </w:lvl>
    <w:lvl w:ilvl="8">
      <w:numFmt w:val="bullet"/>
      <w:lvlText w:val="•"/>
      <w:lvlJc w:val="left"/>
      <w:pPr>
        <w:ind w:left="33" w:hanging="681"/>
      </w:pPr>
      <w:rPr>
        <w:rFonts w:hint="default"/>
        <w:lang w:val="en-US" w:eastAsia="en-US" w:bidi="ar-SA"/>
      </w:rPr>
    </w:lvl>
  </w:abstractNum>
  <w:abstractNum w:abstractNumId="29" w15:restartNumberingAfterBreak="0">
    <w:nsid w:val="72FE38E4"/>
    <w:multiLevelType w:val="multilevel"/>
    <w:tmpl w:val="C0D438F6"/>
    <w:lvl w:ilvl="0">
      <w:start w:val="2"/>
      <w:numFmt w:val="decimal"/>
      <w:lvlText w:val="%1"/>
      <w:lvlJc w:val="left"/>
      <w:pPr>
        <w:ind w:left="794" w:hanging="681"/>
      </w:pPr>
      <w:rPr>
        <w:rFonts w:hint="default"/>
        <w:lang w:val="en-US" w:eastAsia="en-US" w:bidi="ar-SA"/>
      </w:rPr>
    </w:lvl>
    <w:lvl w:ilvl="1">
      <w:start w:val="1"/>
      <w:numFmt w:val="decimal"/>
      <w:lvlText w:val="%1.%2"/>
      <w:lvlJc w:val="left"/>
      <w:pPr>
        <w:ind w:left="794" w:hanging="681"/>
      </w:pPr>
      <w:rPr>
        <w:rFonts w:hint="default"/>
        <w:lang w:val="en-US" w:eastAsia="en-US" w:bidi="ar-SA"/>
      </w:rPr>
    </w:lvl>
    <w:lvl w:ilvl="2">
      <w:start w:val="1"/>
      <w:numFmt w:val="decimal"/>
      <w:lvlText w:val="%1.%2.%3"/>
      <w:lvlJc w:val="left"/>
      <w:pPr>
        <w:ind w:left="794" w:hanging="681"/>
      </w:pPr>
      <w:rPr>
        <w:rFonts w:ascii="Calibri" w:eastAsia="Calibri" w:hAnsi="Calibri" w:cs="Calibri" w:hint="default"/>
        <w:b w:val="0"/>
        <w:bCs w:val="0"/>
        <w:i w:val="0"/>
        <w:iCs w:val="0"/>
        <w:color w:val="231F20"/>
        <w:spacing w:val="-9"/>
        <w:w w:val="64"/>
        <w:sz w:val="24"/>
        <w:szCs w:val="24"/>
        <w:lang w:val="en-US" w:eastAsia="en-US" w:bidi="ar-SA"/>
      </w:rPr>
    </w:lvl>
    <w:lvl w:ilvl="3">
      <w:numFmt w:val="bullet"/>
      <w:lvlText w:val="•"/>
      <w:lvlJc w:val="left"/>
      <w:pPr>
        <w:ind w:left="2561" w:hanging="681"/>
      </w:pPr>
      <w:rPr>
        <w:rFonts w:hint="default"/>
        <w:lang w:val="en-US" w:eastAsia="en-US" w:bidi="ar-SA"/>
      </w:rPr>
    </w:lvl>
    <w:lvl w:ilvl="4">
      <w:numFmt w:val="bullet"/>
      <w:lvlText w:val="•"/>
      <w:lvlJc w:val="left"/>
      <w:pPr>
        <w:ind w:left="3148" w:hanging="681"/>
      </w:pPr>
      <w:rPr>
        <w:rFonts w:hint="default"/>
        <w:lang w:val="en-US" w:eastAsia="en-US" w:bidi="ar-SA"/>
      </w:rPr>
    </w:lvl>
    <w:lvl w:ilvl="5">
      <w:numFmt w:val="bullet"/>
      <w:lvlText w:val="•"/>
      <w:lvlJc w:val="left"/>
      <w:pPr>
        <w:ind w:left="3736" w:hanging="681"/>
      </w:pPr>
      <w:rPr>
        <w:rFonts w:hint="default"/>
        <w:lang w:val="en-US" w:eastAsia="en-US" w:bidi="ar-SA"/>
      </w:rPr>
    </w:lvl>
    <w:lvl w:ilvl="6">
      <w:numFmt w:val="bullet"/>
      <w:lvlText w:val="•"/>
      <w:lvlJc w:val="left"/>
      <w:pPr>
        <w:ind w:left="4323" w:hanging="681"/>
      </w:pPr>
      <w:rPr>
        <w:rFonts w:hint="default"/>
        <w:lang w:val="en-US" w:eastAsia="en-US" w:bidi="ar-SA"/>
      </w:rPr>
    </w:lvl>
    <w:lvl w:ilvl="7">
      <w:numFmt w:val="bullet"/>
      <w:lvlText w:val="•"/>
      <w:lvlJc w:val="left"/>
      <w:pPr>
        <w:ind w:left="4910" w:hanging="681"/>
      </w:pPr>
      <w:rPr>
        <w:rFonts w:hint="default"/>
        <w:lang w:val="en-US" w:eastAsia="en-US" w:bidi="ar-SA"/>
      </w:rPr>
    </w:lvl>
    <w:lvl w:ilvl="8">
      <w:numFmt w:val="bullet"/>
      <w:lvlText w:val="•"/>
      <w:lvlJc w:val="left"/>
      <w:pPr>
        <w:ind w:left="5497" w:hanging="681"/>
      </w:pPr>
      <w:rPr>
        <w:rFonts w:hint="default"/>
        <w:lang w:val="en-US" w:eastAsia="en-US" w:bidi="ar-SA"/>
      </w:rPr>
    </w:lvl>
  </w:abstractNum>
  <w:abstractNum w:abstractNumId="30" w15:restartNumberingAfterBreak="0">
    <w:nsid w:val="747C031C"/>
    <w:multiLevelType w:val="hybridMultilevel"/>
    <w:tmpl w:val="005070C4"/>
    <w:lvl w:ilvl="0" w:tplc="83E08AC4">
      <w:start w:val="2023"/>
      <w:numFmt w:val="decimal"/>
      <w:lvlText w:val="%1"/>
      <w:lvlJc w:val="left"/>
      <w:pPr>
        <w:ind w:left="780" w:hanging="4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7"/>
  </w:num>
  <w:num w:numId="2">
    <w:abstractNumId w:val="20"/>
  </w:num>
  <w:num w:numId="3">
    <w:abstractNumId w:val="1"/>
  </w:num>
  <w:num w:numId="4">
    <w:abstractNumId w:val="16"/>
  </w:num>
  <w:num w:numId="5">
    <w:abstractNumId w:val="5"/>
  </w:num>
  <w:num w:numId="6">
    <w:abstractNumId w:val="6"/>
  </w:num>
  <w:num w:numId="7">
    <w:abstractNumId w:val="2"/>
  </w:num>
  <w:num w:numId="8">
    <w:abstractNumId w:val="4"/>
  </w:num>
  <w:num w:numId="9">
    <w:abstractNumId w:val="7"/>
  </w:num>
  <w:num w:numId="10">
    <w:abstractNumId w:val="25"/>
  </w:num>
  <w:num w:numId="11">
    <w:abstractNumId w:val="0"/>
  </w:num>
  <w:num w:numId="12">
    <w:abstractNumId w:val="24"/>
  </w:num>
  <w:num w:numId="13">
    <w:abstractNumId w:val="21"/>
  </w:num>
  <w:num w:numId="14">
    <w:abstractNumId w:val="12"/>
  </w:num>
  <w:num w:numId="15">
    <w:abstractNumId w:val="19"/>
  </w:num>
  <w:num w:numId="16">
    <w:abstractNumId w:val="10"/>
  </w:num>
  <w:num w:numId="17">
    <w:abstractNumId w:val="29"/>
  </w:num>
  <w:num w:numId="18">
    <w:abstractNumId w:val="22"/>
  </w:num>
  <w:num w:numId="19">
    <w:abstractNumId w:val="18"/>
  </w:num>
  <w:num w:numId="20">
    <w:abstractNumId w:val="3"/>
  </w:num>
  <w:num w:numId="21">
    <w:abstractNumId w:val="14"/>
  </w:num>
  <w:num w:numId="22">
    <w:abstractNumId w:val="11"/>
  </w:num>
  <w:num w:numId="23">
    <w:abstractNumId w:val="15"/>
  </w:num>
  <w:num w:numId="24">
    <w:abstractNumId w:val="30"/>
  </w:num>
  <w:num w:numId="25">
    <w:abstractNumId w:val="9"/>
  </w:num>
  <w:num w:numId="26">
    <w:abstractNumId w:val="26"/>
  </w:num>
  <w:num w:numId="27">
    <w:abstractNumId w:val="8"/>
  </w:num>
  <w:num w:numId="28">
    <w:abstractNumId w:val="13"/>
  </w:num>
  <w:num w:numId="29">
    <w:abstractNumId w:val="27"/>
  </w:num>
  <w:num w:numId="30">
    <w:abstractNumId w:val="23"/>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667"/>
    <w:rsid w:val="00137667"/>
    <w:rsid w:val="001C7BAB"/>
    <w:rsid w:val="00270431"/>
    <w:rsid w:val="00294A44"/>
    <w:rsid w:val="003541D1"/>
    <w:rsid w:val="004E5D80"/>
    <w:rsid w:val="00601A56"/>
    <w:rsid w:val="00605D93"/>
    <w:rsid w:val="00632D5A"/>
    <w:rsid w:val="006515AA"/>
    <w:rsid w:val="006C4D42"/>
    <w:rsid w:val="006D0A99"/>
    <w:rsid w:val="006D2E21"/>
    <w:rsid w:val="00742065"/>
    <w:rsid w:val="007A3FD2"/>
    <w:rsid w:val="007E1964"/>
    <w:rsid w:val="008E35FC"/>
    <w:rsid w:val="00900E37"/>
    <w:rsid w:val="009A0950"/>
    <w:rsid w:val="00A02D1E"/>
    <w:rsid w:val="00AD6319"/>
    <w:rsid w:val="00B47E53"/>
    <w:rsid w:val="00BF222F"/>
    <w:rsid w:val="00C013EC"/>
    <w:rsid w:val="00C73F9A"/>
    <w:rsid w:val="00D43810"/>
    <w:rsid w:val="00DC7554"/>
    <w:rsid w:val="00DE325B"/>
    <w:rsid w:val="00EB47F4"/>
    <w:rsid w:val="00FD4DA0"/>
    <w:rsid w:val="00FF1F5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7A7F2"/>
  <w15:chartTrackingRefBased/>
  <w15:docId w15:val="{AA3B3F31-8BE5-42B9-8460-55EF39B82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unhideWhenUsed/>
    <w:qFormat/>
    <w:rsid w:val="00AD6319"/>
    <w:pPr>
      <w:widowControl w:val="0"/>
      <w:autoSpaceDE w:val="0"/>
      <w:autoSpaceDN w:val="0"/>
      <w:spacing w:after="0" w:line="290" w:lineRule="exact"/>
      <w:ind w:left="113"/>
      <w:outlineLvl w:val="1"/>
    </w:pPr>
    <w:rPr>
      <w:rFonts w:ascii="Calibri" w:eastAsia="Calibri" w:hAnsi="Calibri" w:cs="Calibri"/>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7667"/>
    <w:rPr>
      <w:color w:val="0563C1" w:themeColor="hyperlink"/>
      <w:u w:val="single"/>
    </w:rPr>
  </w:style>
  <w:style w:type="character" w:styleId="UnresolvedMention">
    <w:name w:val="Unresolved Mention"/>
    <w:basedOn w:val="DefaultParagraphFont"/>
    <w:uiPriority w:val="99"/>
    <w:semiHidden/>
    <w:unhideWhenUsed/>
    <w:rsid w:val="00137667"/>
    <w:rPr>
      <w:color w:val="605E5C"/>
      <w:shd w:val="clear" w:color="auto" w:fill="E1DFDD"/>
    </w:rPr>
  </w:style>
  <w:style w:type="paragraph" w:styleId="ListParagraph">
    <w:name w:val="List Paragraph"/>
    <w:basedOn w:val="Normal"/>
    <w:uiPriority w:val="1"/>
    <w:qFormat/>
    <w:rsid w:val="001C7BAB"/>
    <w:pPr>
      <w:ind w:left="720"/>
      <w:contextualSpacing/>
    </w:pPr>
  </w:style>
  <w:style w:type="table" w:styleId="TableGrid">
    <w:name w:val="Table Grid"/>
    <w:basedOn w:val="TableNormal"/>
    <w:uiPriority w:val="39"/>
    <w:rsid w:val="00AD63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D6319"/>
    <w:rPr>
      <w:rFonts w:ascii="Calibri" w:eastAsia="Calibri" w:hAnsi="Calibri" w:cs="Calibri"/>
      <w:b/>
      <w:bCs/>
      <w:sz w:val="24"/>
      <w:szCs w:val="24"/>
      <w:lang w:val="en-US"/>
    </w:rPr>
  </w:style>
  <w:style w:type="paragraph" w:styleId="BodyText">
    <w:name w:val="Body Text"/>
    <w:basedOn w:val="Normal"/>
    <w:link w:val="BodyTextChar"/>
    <w:uiPriority w:val="1"/>
    <w:qFormat/>
    <w:rsid w:val="00AD6319"/>
    <w:pPr>
      <w:widowControl w:val="0"/>
      <w:autoSpaceDE w:val="0"/>
      <w:autoSpaceDN w:val="0"/>
      <w:spacing w:after="0" w:line="240" w:lineRule="auto"/>
    </w:pPr>
    <w:rPr>
      <w:rFonts w:ascii="Calibri" w:eastAsia="Calibri" w:hAnsi="Calibri" w:cs="Calibri"/>
      <w:sz w:val="24"/>
      <w:szCs w:val="24"/>
      <w:lang w:val="en-US"/>
    </w:rPr>
  </w:style>
  <w:style w:type="character" w:customStyle="1" w:styleId="BodyTextChar">
    <w:name w:val="Body Text Char"/>
    <w:basedOn w:val="DefaultParagraphFont"/>
    <w:link w:val="BodyText"/>
    <w:uiPriority w:val="1"/>
    <w:rsid w:val="00AD6319"/>
    <w:rPr>
      <w:rFonts w:ascii="Calibri" w:eastAsia="Calibri" w:hAnsi="Calibri" w:cs="Calibri"/>
      <w:sz w:val="24"/>
      <w:szCs w:val="24"/>
      <w:lang w:val="en-US"/>
    </w:rPr>
  </w:style>
  <w:style w:type="paragraph" w:customStyle="1" w:styleId="TableParagraph">
    <w:name w:val="Table Paragraph"/>
    <w:basedOn w:val="Normal"/>
    <w:uiPriority w:val="1"/>
    <w:qFormat/>
    <w:rsid w:val="00DE325B"/>
    <w:pPr>
      <w:widowControl w:val="0"/>
      <w:autoSpaceDE w:val="0"/>
      <w:autoSpaceDN w:val="0"/>
      <w:spacing w:after="0" w:line="240" w:lineRule="auto"/>
    </w:pPr>
    <w:rPr>
      <w:rFonts w:ascii="Calibri" w:eastAsia="Calibri" w:hAnsi="Calibri" w:cs="Calibri"/>
      <w:lang w:val="en-US"/>
    </w:rPr>
  </w:style>
  <w:style w:type="paragraph" w:customStyle="1" w:styleId="ColorfulShading-Accent31">
    <w:name w:val="Colorful Shading - Accent 31"/>
    <w:basedOn w:val="Normal"/>
    <w:uiPriority w:val="34"/>
    <w:qFormat/>
    <w:rsid w:val="006C4D42"/>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s.gov.au/statistics/health/disability/disabilityageing-and-carers-australia-summary-findings/201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gbtiqintersect.org.au/learning-modules/intersectionality/" TargetMode="External"/><Relationship Id="rId12" Type="http://schemas.openxmlformats.org/officeDocument/2006/relationships/hyperlink" Target="https://www.un.org/development/desa/disabilities/convention-on-the-rights-of-persons-with-disabilitie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brary.bsl.org.au/jspui/bitstream/1/6119/1/Saunders_etal_towards_new_indicators_of_disadvantage_deprivation_and_social_exclusion.pdf" TargetMode="External"/><Relationship Id="rId11" Type="http://schemas.openxmlformats.org/officeDocument/2006/relationships/hyperlink" Target="http://www.health.gov.au/topics/ear-health/about" TargetMode="External"/><Relationship Id="rId5" Type="http://schemas.openxmlformats.org/officeDocument/2006/relationships/hyperlink" Target="https://www.legislation.gov.au/Details/C2018C00125" TargetMode="External"/><Relationship Id="rId10" Type="http://schemas.openxmlformats.org/officeDocument/2006/relationships/hyperlink" Target="http://www.and.org.au/pages/disability-statistics.html" TargetMode="External"/><Relationship Id="rId4" Type="http://schemas.openxmlformats.org/officeDocument/2006/relationships/webSettings" Target="webSettings.xml"/><Relationship Id="rId9" Type="http://schemas.openxmlformats.org/officeDocument/2006/relationships/hyperlink" Target="https://www.abs.gov.au/statistics/health/disability/disabilityageing-and-carers-australia-summary-findings/201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26</Pages>
  <Words>7315</Words>
  <Characters>41700</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McKendry, Meredith</dc:creator>
  <cp:keywords/>
  <dc:description/>
  <cp:lastModifiedBy>Sivell, Alana</cp:lastModifiedBy>
  <cp:revision>11</cp:revision>
  <dcterms:created xsi:type="dcterms:W3CDTF">2023-05-12T01:04:00Z</dcterms:created>
  <dcterms:modified xsi:type="dcterms:W3CDTF">2023-05-12T03:14:00Z</dcterms:modified>
</cp:coreProperties>
</file>